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35F19" w14:textId="53F0B96C" w:rsidR="006907F8" w:rsidRPr="004A6E0F" w:rsidRDefault="00C76BBD" w:rsidP="004A6E0F">
      <w:pPr>
        <w:pStyle w:val="Heading2"/>
        <w:jc w:val="center"/>
      </w:pPr>
      <w:r w:rsidRPr="004A6E0F">
        <w:t>Student Standards, including c</w:t>
      </w:r>
      <w:r w:rsidR="004A6E0F" w:rsidRPr="004A6E0F">
        <w:t>onfidentiality and information governance</w:t>
      </w:r>
      <w:r w:rsidRPr="004A6E0F">
        <w:t>, mandatory learning, dress code and Occupational health</w:t>
      </w:r>
    </w:p>
    <w:p w14:paraId="3B98ACA3" w14:textId="77777777" w:rsidR="00C76BBD" w:rsidRPr="00C76BBD" w:rsidRDefault="00C76BBD" w:rsidP="00C76BBD">
      <w:pPr>
        <w:spacing w:after="0" w:line="240" w:lineRule="auto"/>
        <w:rPr>
          <w:szCs w:val="22"/>
        </w:rPr>
      </w:pPr>
    </w:p>
    <w:p w14:paraId="660DA47D" w14:textId="3B0CF15C" w:rsidR="00C76BBD" w:rsidRPr="00C76BBD" w:rsidRDefault="00C35BE9" w:rsidP="00C76BBD">
      <w:pPr>
        <w:pStyle w:val="Heading2"/>
      </w:pPr>
      <w:r>
        <w:t>Good medical practice, professionalism, c</w:t>
      </w:r>
      <w:r w:rsidR="00C76BBD" w:rsidRPr="00C76BBD">
        <w:t>onfidentiality and information governance</w:t>
      </w:r>
    </w:p>
    <w:p w14:paraId="62642709" w14:textId="28787CFE" w:rsidR="00C35BE9" w:rsidRDefault="002C759B" w:rsidP="00C35BE9">
      <w:pPr>
        <w:spacing w:after="0" w:line="240" w:lineRule="auto"/>
        <w:ind w:left="10" w:hanging="10"/>
        <w:rPr>
          <w:rFonts w:eastAsia="Segoe UI"/>
          <w:szCs w:val="22"/>
        </w:rPr>
      </w:pPr>
      <w:r>
        <w:rPr>
          <w:rFonts w:eastAsia="Segoe UI"/>
          <w:szCs w:val="22"/>
        </w:rPr>
        <w:t>Students</w:t>
      </w:r>
      <w:r w:rsidR="004A6E0F" w:rsidRPr="00C76BBD">
        <w:rPr>
          <w:rFonts w:eastAsia="Segoe UI"/>
          <w:szCs w:val="22"/>
        </w:rPr>
        <w:t xml:space="preserve"> sign an annual confidentiality and good medical practice statement</w:t>
      </w:r>
      <w:r w:rsidR="00DD07C1" w:rsidRPr="00C76BBD">
        <w:rPr>
          <w:rFonts w:eastAsia="Segoe UI"/>
          <w:szCs w:val="22"/>
        </w:rPr>
        <w:t xml:space="preserve"> </w:t>
      </w:r>
      <w:r w:rsidR="00284D29" w:rsidRPr="00C76BBD">
        <w:rPr>
          <w:rFonts w:eastAsia="Segoe UI"/>
          <w:szCs w:val="22"/>
        </w:rPr>
        <w:t xml:space="preserve">which is </w:t>
      </w:r>
      <w:hyperlink r:id="rId5" w:history="1">
        <w:r w:rsidR="00284D29" w:rsidRPr="002C759B">
          <w:rPr>
            <w:rStyle w:val="Hyperlink"/>
            <w:rFonts w:eastAsia="Segoe UI"/>
            <w:szCs w:val="22"/>
          </w:rPr>
          <w:t xml:space="preserve">available </w:t>
        </w:r>
        <w:r w:rsidRPr="002C759B">
          <w:rPr>
            <w:rStyle w:val="Hyperlink"/>
            <w:rFonts w:eastAsia="Segoe UI"/>
            <w:szCs w:val="22"/>
          </w:rPr>
          <w:t>here</w:t>
        </w:r>
      </w:hyperlink>
      <w:r>
        <w:rPr>
          <w:rFonts w:eastAsia="Segoe UI"/>
          <w:szCs w:val="22"/>
        </w:rPr>
        <w:t xml:space="preserve">. </w:t>
      </w:r>
      <w:r w:rsidR="00F63436" w:rsidRPr="00C76BBD">
        <w:rPr>
          <w:rFonts w:eastAsia="Segoe UI"/>
          <w:szCs w:val="22"/>
        </w:rPr>
        <w:t>It is advised that you go through th</w:t>
      </w:r>
      <w:r w:rsidR="00F63436">
        <w:rPr>
          <w:rFonts w:eastAsia="Segoe UI"/>
          <w:szCs w:val="22"/>
        </w:rPr>
        <w:t>e statement</w:t>
      </w:r>
      <w:r w:rsidR="00F63436" w:rsidRPr="00C76BBD">
        <w:rPr>
          <w:rFonts w:eastAsia="Segoe UI"/>
          <w:szCs w:val="22"/>
        </w:rPr>
        <w:t xml:space="preserve"> with students at induction. </w:t>
      </w:r>
      <w:r w:rsidR="00284D29" w:rsidRPr="00C76BBD">
        <w:rPr>
          <w:rFonts w:eastAsia="Segoe UI"/>
          <w:szCs w:val="22"/>
        </w:rPr>
        <w:t xml:space="preserve">This includes links to </w:t>
      </w:r>
      <w:hyperlink r:id="rId6" w:history="1">
        <w:r w:rsidR="00284D29" w:rsidRPr="00C76BBD">
          <w:rPr>
            <w:rStyle w:val="Hyperlink"/>
            <w:rFonts w:eastAsia="Segoe UI"/>
            <w:szCs w:val="22"/>
          </w:rPr>
          <w:t>GMC Good Medical Practice for medical students</w:t>
        </w:r>
      </w:hyperlink>
      <w:r w:rsidR="00284D29" w:rsidRPr="00C76BBD">
        <w:rPr>
          <w:rFonts w:eastAsia="Segoe UI"/>
          <w:szCs w:val="22"/>
        </w:rPr>
        <w:t xml:space="preserve"> and The University of Bristol MBChB Rules and Policies</w:t>
      </w:r>
      <w:r w:rsidR="002807DE" w:rsidRPr="00C76BBD">
        <w:rPr>
          <w:rFonts w:eastAsia="Segoe UI"/>
          <w:szCs w:val="22"/>
        </w:rPr>
        <w:t xml:space="preserve"> which</w:t>
      </w:r>
      <w:r w:rsidR="004957AD">
        <w:rPr>
          <w:rFonts w:eastAsia="Segoe UI"/>
          <w:szCs w:val="22"/>
        </w:rPr>
        <w:t xml:space="preserve"> the</w:t>
      </w:r>
      <w:r w:rsidR="002807DE" w:rsidRPr="00C76BBD">
        <w:rPr>
          <w:rFonts w:eastAsia="Segoe UI"/>
          <w:szCs w:val="22"/>
        </w:rPr>
        <w:t xml:space="preserve"> students</w:t>
      </w:r>
      <w:r w:rsidR="004957AD">
        <w:rPr>
          <w:rFonts w:eastAsia="Segoe UI"/>
          <w:szCs w:val="22"/>
        </w:rPr>
        <w:t xml:space="preserve"> can</w:t>
      </w:r>
      <w:r w:rsidR="002807DE" w:rsidRPr="00C76BBD">
        <w:rPr>
          <w:rFonts w:eastAsia="Segoe UI"/>
          <w:szCs w:val="22"/>
        </w:rPr>
        <w:t xml:space="preserve"> access </w:t>
      </w:r>
      <w:r w:rsidR="00C35BE9">
        <w:rPr>
          <w:rFonts w:eastAsia="Segoe UI"/>
          <w:szCs w:val="22"/>
        </w:rPr>
        <w:t>via</w:t>
      </w:r>
      <w:r w:rsidR="002807DE" w:rsidRPr="00C76BBD">
        <w:rPr>
          <w:rFonts w:eastAsia="Segoe UI"/>
          <w:szCs w:val="22"/>
        </w:rPr>
        <w:t xml:space="preserve"> SharePoint</w:t>
      </w:r>
      <w:r w:rsidR="004957AD">
        <w:rPr>
          <w:rFonts w:eastAsia="Segoe UI"/>
          <w:szCs w:val="22"/>
        </w:rPr>
        <w:t>.</w:t>
      </w:r>
      <w:r w:rsidR="009030E5" w:rsidRPr="00C76BBD">
        <w:rPr>
          <w:rFonts w:eastAsia="Segoe UI"/>
          <w:szCs w:val="22"/>
        </w:rPr>
        <w:t xml:space="preserve"> You may have your own practice</w:t>
      </w:r>
      <w:r w:rsidR="00C35BE9">
        <w:rPr>
          <w:rFonts w:eastAsia="Segoe UI"/>
          <w:szCs w:val="22"/>
        </w:rPr>
        <w:t xml:space="preserve"> policies or</w:t>
      </w:r>
      <w:r w:rsidR="009030E5" w:rsidRPr="00C76BBD">
        <w:rPr>
          <w:rFonts w:eastAsia="Segoe UI"/>
          <w:szCs w:val="22"/>
        </w:rPr>
        <w:t xml:space="preserve"> form</w:t>
      </w:r>
      <w:r w:rsidR="00C35BE9">
        <w:rPr>
          <w:rFonts w:eastAsia="Segoe UI"/>
          <w:szCs w:val="22"/>
        </w:rPr>
        <w:t>s</w:t>
      </w:r>
      <w:r w:rsidR="009030E5" w:rsidRPr="00C76BBD">
        <w:rPr>
          <w:rFonts w:eastAsia="Segoe UI"/>
          <w:szCs w:val="22"/>
        </w:rPr>
        <w:t xml:space="preserve"> which you prefer to use instead, or you may wish to adapt this</w:t>
      </w:r>
      <w:r w:rsidR="00C35BE9">
        <w:rPr>
          <w:rFonts w:eastAsia="Segoe UI"/>
          <w:szCs w:val="22"/>
        </w:rPr>
        <w:t xml:space="preserve"> one</w:t>
      </w:r>
      <w:r w:rsidR="00971DD2" w:rsidRPr="00C76BBD">
        <w:rPr>
          <w:rFonts w:eastAsia="Segoe UI"/>
          <w:szCs w:val="22"/>
        </w:rPr>
        <w:t>.</w:t>
      </w:r>
      <w:r w:rsidR="00C35BE9">
        <w:rPr>
          <w:rFonts w:eastAsia="Segoe UI"/>
          <w:szCs w:val="22"/>
        </w:rPr>
        <w:t xml:space="preserve"> </w:t>
      </w:r>
    </w:p>
    <w:p w14:paraId="56869AD7" w14:textId="77777777" w:rsidR="00C35BE9" w:rsidRDefault="00C35BE9" w:rsidP="00C35BE9">
      <w:pPr>
        <w:spacing w:after="0" w:line="240" w:lineRule="auto"/>
        <w:ind w:left="10" w:hanging="10"/>
        <w:rPr>
          <w:rFonts w:eastAsia="Segoe UI"/>
          <w:szCs w:val="22"/>
        </w:rPr>
      </w:pPr>
    </w:p>
    <w:p w14:paraId="59C4FFC9" w14:textId="652CBEF5" w:rsidR="006907F8" w:rsidRPr="00C35BE9" w:rsidRDefault="00C35BE9" w:rsidP="00C35BE9">
      <w:pPr>
        <w:spacing w:after="0" w:line="240" w:lineRule="auto"/>
        <w:ind w:left="10" w:hanging="10"/>
        <w:rPr>
          <w:rFonts w:eastAsia="Segoe UI"/>
          <w:szCs w:val="22"/>
        </w:rPr>
      </w:pPr>
      <w:r>
        <w:rPr>
          <w:rFonts w:eastAsia="Segoe UI"/>
          <w:szCs w:val="22"/>
        </w:rPr>
        <w:t xml:space="preserve">The form </w:t>
      </w:r>
      <w:r w:rsidR="007B71E1" w:rsidRPr="00C76BBD">
        <w:rPr>
          <w:rFonts w:eastAsia="Segoe UI"/>
          <w:szCs w:val="22"/>
        </w:rPr>
        <w:t xml:space="preserve">includes information about </w:t>
      </w:r>
      <w:r w:rsidR="004A6E0F" w:rsidRPr="00C76BBD">
        <w:rPr>
          <w:rFonts w:eastAsia="Segoe UI"/>
          <w:szCs w:val="22"/>
        </w:rPr>
        <w:t>confidentiality of patient records and patient data</w:t>
      </w:r>
      <w:r w:rsidR="00481170" w:rsidRPr="00C76BBD">
        <w:rPr>
          <w:rFonts w:eastAsia="Segoe UI"/>
          <w:szCs w:val="22"/>
        </w:rPr>
        <w:t xml:space="preserve">, </w:t>
      </w:r>
      <w:r w:rsidR="00E96B68" w:rsidRPr="00C76BBD">
        <w:rPr>
          <w:rFonts w:eastAsia="Segoe UI"/>
          <w:szCs w:val="22"/>
        </w:rPr>
        <w:t xml:space="preserve">and </w:t>
      </w:r>
      <w:r w:rsidR="00481170" w:rsidRPr="00C76BBD">
        <w:rPr>
          <w:rFonts w:eastAsia="Segoe UI"/>
          <w:szCs w:val="22"/>
        </w:rPr>
        <w:t>anonymising notes</w:t>
      </w:r>
      <w:r w:rsidR="00E96B68" w:rsidRPr="00C76BBD">
        <w:rPr>
          <w:rFonts w:eastAsia="Segoe UI"/>
          <w:szCs w:val="22"/>
        </w:rPr>
        <w:t xml:space="preserve">. </w:t>
      </w:r>
      <w:r w:rsidR="00B40161">
        <w:rPr>
          <w:rFonts w:eastAsia="Segoe UI"/>
          <w:szCs w:val="22"/>
        </w:rPr>
        <w:t>It is clear that s</w:t>
      </w:r>
      <w:r w:rsidR="00B40161" w:rsidRPr="00B40161">
        <w:rPr>
          <w:rFonts w:eastAsia="Segoe UI"/>
          <w:szCs w:val="22"/>
        </w:rPr>
        <w:t>tudents should not, under any circumstances, copy or capture PID, in any form</w:t>
      </w:r>
      <w:r w:rsidR="00AA4019" w:rsidRPr="00C76BBD">
        <w:rPr>
          <w:rFonts w:eastAsia="Segoe UI"/>
          <w:szCs w:val="22"/>
        </w:rPr>
        <w:t xml:space="preserve">. </w:t>
      </w:r>
      <w:r w:rsidR="00E96B68" w:rsidRPr="00C76BBD">
        <w:rPr>
          <w:rFonts w:eastAsia="Segoe UI"/>
          <w:szCs w:val="22"/>
        </w:rPr>
        <w:t>It describes the need to ensure and document</w:t>
      </w:r>
      <w:r w:rsidR="00481170" w:rsidRPr="00C76BBD">
        <w:rPr>
          <w:rFonts w:eastAsia="Segoe UI"/>
          <w:szCs w:val="22"/>
        </w:rPr>
        <w:t xml:space="preserve"> e</w:t>
      </w:r>
      <w:r w:rsidR="004A6E0F" w:rsidRPr="00C76BBD">
        <w:rPr>
          <w:rFonts w:eastAsia="Segoe UI"/>
          <w:szCs w:val="22"/>
        </w:rPr>
        <w:t>xplicit consent from a patient if you disclose identifiable information about them</w:t>
      </w:r>
      <w:r w:rsidR="00C01B3E" w:rsidRPr="00C76BBD">
        <w:rPr>
          <w:rFonts w:eastAsia="Segoe UI"/>
          <w:szCs w:val="22"/>
        </w:rPr>
        <w:t xml:space="preserve"> e.g. in assessments</w:t>
      </w:r>
      <w:r w:rsidRPr="00C76BBD">
        <w:rPr>
          <w:rFonts w:eastAsia="Segoe UI"/>
          <w:szCs w:val="22"/>
        </w:rPr>
        <w:t xml:space="preserve">. </w:t>
      </w:r>
    </w:p>
    <w:p w14:paraId="78A2CCC4" w14:textId="0CCC225B" w:rsidR="006907F8" w:rsidRPr="00C76BBD" w:rsidRDefault="004A6E0F" w:rsidP="00C76BBD">
      <w:pPr>
        <w:spacing w:after="0" w:line="240" w:lineRule="auto"/>
        <w:rPr>
          <w:szCs w:val="22"/>
        </w:rPr>
      </w:pPr>
      <w:r w:rsidRPr="00C76BBD">
        <w:rPr>
          <w:szCs w:val="22"/>
        </w:rPr>
        <w:t xml:space="preserve">  </w:t>
      </w:r>
    </w:p>
    <w:p w14:paraId="18967424" w14:textId="20E1DB05" w:rsidR="006907F8" w:rsidRPr="00C76BBD" w:rsidRDefault="00C35BE9" w:rsidP="00C76BBD">
      <w:pPr>
        <w:spacing w:after="0" w:line="240" w:lineRule="auto"/>
        <w:ind w:left="-5" w:hanging="10"/>
        <w:rPr>
          <w:rFonts w:eastAsia="Segoe UI"/>
          <w:szCs w:val="22"/>
        </w:rPr>
      </w:pPr>
      <w:r>
        <w:rPr>
          <w:rFonts w:eastAsia="Segoe UI"/>
          <w:szCs w:val="22"/>
        </w:rPr>
        <w:t xml:space="preserve">All </w:t>
      </w:r>
      <w:r w:rsidR="00C76BBD" w:rsidRPr="00C76BBD">
        <w:rPr>
          <w:rFonts w:eastAsia="Segoe UI"/>
          <w:szCs w:val="22"/>
        </w:rPr>
        <w:t xml:space="preserve">students </w:t>
      </w:r>
      <w:r>
        <w:rPr>
          <w:rFonts w:eastAsia="Segoe UI"/>
          <w:szCs w:val="22"/>
        </w:rPr>
        <w:t>are required to</w:t>
      </w:r>
      <w:r w:rsidR="00681E2E" w:rsidRPr="00C76BBD">
        <w:rPr>
          <w:rFonts w:eastAsia="Segoe UI"/>
          <w:szCs w:val="22"/>
        </w:rPr>
        <w:t xml:space="preserve"> complete the mandatory </w:t>
      </w:r>
      <w:proofErr w:type="spellStart"/>
      <w:r w:rsidR="00681E2E" w:rsidRPr="00C76BBD">
        <w:rPr>
          <w:rFonts w:eastAsia="Segoe UI"/>
          <w:szCs w:val="22"/>
        </w:rPr>
        <w:t>eLFH</w:t>
      </w:r>
      <w:proofErr w:type="spellEnd"/>
      <w:r w:rsidR="00681E2E" w:rsidRPr="00C76BBD">
        <w:rPr>
          <w:rFonts w:eastAsia="Segoe UI"/>
          <w:szCs w:val="22"/>
        </w:rPr>
        <w:t xml:space="preserve"> (e</w:t>
      </w:r>
      <w:r w:rsidR="009F55C4" w:rsidRPr="00C76BBD">
        <w:rPr>
          <w:rFonts w:eastAsia="Segoe UI"/>
          <w:szCs w:val="22"/>
        </w:rPr>
        <w:t>-</w:t>
      </w:r>
      <w:r w:rsidR="00681E2E" w:rsidRPr="00C76BBD">
        <w:rPr>
          <w:rFonts w:eastAsia="Segoe UI"/>
          <w:szCs w:val="22"/>
        </w:rPr>
        <w:t>Learning for Health) module</w:t>
      </w:r>
      <w:r w:rsidR="00C76BBD" w:rsidRPr="00C76BBD">
        <w:rPr>
          <w:rFonts w:eastAsia="Segoe UI"/>
          <w:szCs w:val="22"/>
        </w:rPr>
        <w:t xml:space="preserve"> ‘Data </w:t>
      </w:r>
      <w:r w:rsidR="00681E2E" w:rsidRPr="00C76BBD">
        <w:rPr>
          <w:rFonts w:eastAsia="Segoe UI"/>
          <w:szCs w:val="22"/>
        </w:rPr>
        <w:t>Security Awareness Level 1'</w:t>
      </w:r>
      <w:r w:rsidR="009F55C4" w:rsidRPr="00C76BBD">
        <w:rPr>
          <w:rFonts w:eastAsia="Segoe UI"/>
          <w:szCs w:val="22"/>
        </w:rPr>
        <w:t>.</w:t>
      </w:r>
      <w:hyperlink r:id="rId7">
        <w:r w:rsidR="00681E2E" w:rsidRPr="00C76BBD">
          <w:rPr>
            <w:rFonts w:eastAsia="Segoe UI"/>
            <w:szCs w:val="22"/>
          </w:rPr>
          <w:t xml:space="preserve"> </w:t>
        </w:r>
      </w:hyperlink>
      <w:r w:rsidR="00681E2E" w:rsidRPr="00C76BBD">
        <w:rPr>
          <w:rFonts w:eastAsia="Segoe UI"/>
          <w:szCs w:val="22"/>
        </w:rPr>
        <w:t>This is an annual requirement for all NHS staff.</w:t>
      </w:r>
      <w:r w:rsidR="00C76BBD" w:rsidRPr="00C76BBD">
        <w:rPr>
          <w:rFonts w:eastAsia="Segoe UI"/>
          <w:szCs w:val="22"/>
        </w:rPr>
        <w:t xml:space="preserve"> Please see below for </w:t>
      </w:r>
      <w:r>
        <w:rPr>
          <w:rFonts w:eastAsia="Segoe UI"/>
          <w:szCs w:val="22"/>
        </w:rPr>
        <w:t xml:space="preserve">further </w:t>
      </w:r>
      <w:r w:rsidR="00C76BBD" w:rsidRPr="00C76BBD">
        <w:rPr>
          <w:rFonts w:eastAsia="Segoe UI"/>
          <w:szCs w:val="22"/>
        </w:rPr>
        <w:t>information on all student mandatory learning.</w:t>
      </w:r>
      <w:r w:rsidR="00681E2E" w:rsidRPr="00C76BBD">
        <w:rPr>
          <w:rFonts w:eastAsia="Segoe UI"/>
          <w:szCs w:val="22"/>
        </w:rPr>
        <w:t xml:space="preserve"> </w:t>
      </w:r>
    </w:p>
    <w:p w14:paraId="5EF24325" w14:textId="77777777" w:rsidR="006907F8" w:rsidRPr="00C76BBD" w:rsidRDefault="004A6E0F" w:rsidP="00C76BBD">
      <w:pPr>
        <w:spacing w:after="0" w:line="240" w:lineRule="auto"/>
        <w:rPr>
          <w:szCs w:val="22"/>
        </w:rPr>
      </w:pPr>
      <w:r w:rsidRPr="00C76BBD">
        <w:rPr>
          <w:rFonts w:eastAsia="Times New Roman"/>
          <w:szCs w:val="22"/>
        </w:rPr>
        <w:t xml:space="preserve"> </w:t>
      </w:r>
    </w:p>
    <w:p w14:paraId="10039146" w14:textId="77777777" w:rsidR="00C76BBD" w:rsidRPr="00C76BBD" w:rsidRDefault="004A6E0F" w:rsidP="00C76BBD">
      <w:pPr>
        <w:pStyle w:val="Heading2"/>
      </w:pPr>
      <w:r w:rsidRPr="00C76BBD">
        <w:rPr>
          <w:rFonts w:eastAsia="Times New Roman"/>
        </w:rPr>
        <w:t xml:space="preserve"> </w:t>
      </w:r>
      <w:r w:rsidR="00C76BBD" w:rsidRPr="00C76BBD">
        <w:t>Occupational Health and Vaccinations</w:t>
      </w:r>
    </w:p>
    <w:p w14:paraId="73E8D85C" w14:textId="44161C29" w:rsidR="00C76BBD" w:rsidRPr="00C76BBD" w:rsidRDefault="00C76BBD" w:rsidP="00C76BBD">
      <w:pPr>
        <w:numPr>
          <w:ilvl w:val="0"/>
          <w:numId w:val="3"/>
        </w:numPr>
        <w:spacing w:after="0" w:line="240" w:lineRule="auto"/>
        <w:ind w:hanging="360"/>
        <w:rPr>
          <w:szCs w:val="22"/>
        </w:rPr>
      </w:pPr>
      <w:r w:rsidRPr="00C76BBD">
        <w:rPr>
          <w:rFonts w:eastAsia="Segoe UI"/>
          <w:szCs w:val="22"/>
        </w:rPr>
        <w:t xml:space="preserve">It is the student’s professional responsibility to ensure </w:t>
      </w:r>
      <w:r w:rsidR="00C35BE9">
        <w:rPr>
          <w:rFonts w:eastAsia="Segoe UI"/>
          <w:szCs w:val="22"/>
        </w:rPr>
        <w:t>that</w:t>
      </w:r>
      <w:r w:rsidRPr="00C76BBD">
        <w:rPr>
          <w:rFonts w:eastAsia="Segoe UI"/>
          <w:szCs w:val="22"/>
        </w:rPr>
        <w:t xml:space="preserve"> vaccinations e.g. Hep B are up to date and if they are not</w:t>
      </w:r>
      <w:r w:rsidR="00C35BE9">
        <w:rPr>
          <w:rFonts w:eastAsia="Segoe UI"/>
          <w:szCs w:val="22"/>
        </w:rPr>
        <w:t xml:space="preserve">, </w:t>
      </w:r>
      <w:r w:rsidRPr="00C76BBD">
        <w:rPr>
          <w:rFonts w:eastAsia="Segoe UI"/>
          <w:szCs w:val="22"/>
        </w:rPr>
        <w:t>the student should contact Occupational Health</w:t>
      </w:r>
    </w:p>
    <w:p w14:paraId="46C12886" w14:textId="77777777" w:rsidR="00C76BBD" w:rsidRPr="00C76BBD" w:rsidRDefault="00C76BBD" w:rsidP="00C76BBD">
      <w:pPr>
        <w:numPr>
          <w:ilvl w:val="0"/>
          <w:numId w:val="3"/>
        </w:numPr>
        <w:spacing w:after="0" w:line="240" w:lineRule="auto"/>
        <w:ind w:hanging="360"/>
        <w:rPr>
          <w:szCs w:val="22"/>
        </w:rPr>
      </w:pPr>
      <w:r w:rsidRPr="00C76BBD">
        <w:rPr>
          <w:rFonts w:eastAsia="Segoe UI"/>
          <w:szCs w:val="22"/>
        </w:rPr>
        <w:t>Flu vaccines are usually administered by the academies</w:t>
      </w:r>
    </w:p>
    <w:p w14:paraId="7B3C741E" w14:textId="1FF2F7D0" w:rsidR="00C76BBD" w:rsidRPr="00C76BBD" w:rsidRDefault="00C35BE9" w:rsidP="00C76BBD">
      <w:pPr>
        <w:numPr>
          <w:ilvl w:val="0"/>
          <w:numId w:val="3"/>
        </w:numPr>
        <w:spacing w:after="0" w:line="240" w:lineRule="auto"/>
        <w:ind w:hanging="360"/>
        <w:rPr>
          <w:szCs w:val="22"/>
        </w:rPr>
      </w:pPr>
      <w:r>
        <w:rPr>
          <w:rFonts w:eastAsia="Segoe UI"/>
          <w:szCs w:val="22"/>
        </w:rPr>
        <w:t>I</w:t>
      </w:r>
      <w:r w:rsidR="00C76BBD" w:rsidRPr="00C76BBD">
        <w:rPr>
          <w:rFonts w:eastAsia="Segoe UI"/>
          <w:szCs w:val="22"/>
        </w:rPr>
        <w:t xml:space="preserve">f students have an </w:t>
      </w:r>
      <w:proofErr w:type="gramStart"/>
      <w:r w:rsidR="00C76BBD" w:rsidRPr="00C76BBD">
        <w:rPr>
          <w:rFonts w:eastAsia="Segoe UI"/>
          <w:szCs w:val="22"/>
        </w:rPr>
        <w:t>SSP</w:t>
      </w:r>
      <w:r w:rsidRPr="00C76BBD">
        <w:rPr>
          <w:rFonts w:eastAsia="Segoe UI"/>
          <w:szCs w:val="22"/>
        </w:rPr>
        <w:t>(</w:t>
      </w:r>
      <w:proofErr w:type="gramEnd"/>
      <w:r w:rsidRPr="00C76BBD">
        <w:rPr>
          <w:rFonts w:eastAsia="Segoe UI"/>
          <w:szCs w:val="22"/>
        </w:rPr>
        <w:t>Student support plan</w:t>
      </w:r>
      <w:r w:rsidR="00C76BBD" w:rsidRPr="00C76BBD">
        <w:rPr>
          <w:rFonts w:eastAsia="Segoe UI"/>
          <w:szCs w:val="22"/>
        </w:rPr>
        <w:t xml:space="preserve">, we will inform you via email and let you know </w:t>
      </w:r>
      <w:r>
        <w:rPr>
          <w:rFonts w:eastAsia="Segoe UI"/>
          <w:szCs w:val="22"/>
        </w:rPr>
        <w:t xml:space="preserve">of any additional needs and </w:t>
      </w:r>
      <w:r w:rsidR="00C76BBD" w:rsidRPr="00C76BBD">
        <w:rPr>
          <w:rFonts w:eastAsia="Segoe UI"/>
          <w:szCs w:val="22"/>
        </w:rPr>
        <w:t>any recommended adjustments for their clinical placement</w:t>
      </w:r>
    </w:p>
    <w:p w14:paraId="793B8FF2" w14:textId="098B2920" w:rsidR="00C76BBD" w:rsidRPr="00C76BBD" w:rsidRDefault="00C76BBD" w:rsidP="00C76BBD">
      <w:pPr>
        <w:numPr>
          <w:ilvl w:val="0"/>
          <w:numId w:val="3"/>
        </w:numPr>
        <w:spacing w:after="0" w:line="240" w:lineRule="auto"/>
        <w:ind w:hanging="360"/>
        <w:rPr>
          <w:szCs w:val="22"/>
        </w:rPr>
      </w:pPr>
      <w:r w:rsidRPr="00C76BBD">
        <w:rPr>
          <w:rFonts w:eastAsia="Segoe UI"/>
          <w:szCs w:val="22"/>
        </w:rPr>
        <w:t xml:space="preserve">It is the responsibility of the student to report any change in their health circumstance to the University Occupational Health </w:t>
      </w:r>
    </w:p>
    <w:p w14:paraId="59C2E2A7" w14:textId="77777777" w:rsidR="00C76BBD" w:rsidRPr="00C76BBD" w:rsidRDefault="00C76BBD" w:rsidP="00C76BBD">
      <w:pPr>
        <w:spacing w:after="0" w:line="240" w:lineRule="auto"/>
        <w:ind w:left="705"/>
        <w:rPr>
          <w:szCs w:val="22"/>
        </w:rPr>
      </w:pPr>
    </w:p>
    <w:p w14:paraId="7D0E2D72" w14:textId="77777777" w:rsidR="00C76BBD" w:rsidRPr="00C76BBD" w:rsidRDefault="00C76BBD" w:rsidP="00C76BBD">
      <w:pPr>
        <w:pStyle w:val="Heading2"/>
      </w:pPr>
      <w:r w:rsidRPr="00C76BBD">
        <w:t xml:space="preserve">University of Bristol policy for dress code in clinical areas </w:t>
      </w:r>
    </w:p>
    <w:p w14:paraId="7ABB8184" w14:textId="5BE0E060" w:rsidR="006F0FB8" w:rsidRDefault="00C76BBD" w:rsidP="006F0FB8">
      <w:pPr>
        <w:spacing w:after="0" w:line="240" w:lineRule="auto"/>
        <w:rPr>
          <w:szCs w:val="22"/>
        </w:rPr>
      </w:pPr>
      <w:r w:rsidRPr="00C76BBD">
        <w:rPr>
          <w:szCs w:val="22"/>
        </w:rPr>
        <w:t xml:space="preserve">All students will be provided with </w:t>
      </w:r>
      <w:r w:rsidR="006F0FB8">
        <w:rPr>
          <w:szCs w:val="22"/>
        </w:rPr>
        <w:t xml:space="preserve">grey </w:t>
      </w:r>
      <w:r w:rsidRPr="00C76BBD">
        <w:rPr>
          <w:szCs w:val="22"/>
        </w:rPr>
        <w:t>University of Bristol scrubs which they may choose to wear during the placement</w:t>
      </w:r>
      <w:r w:rsidR="006F0FB8">
        <w:rPr>
          <w:szCs w:val="22"/>
        </w:rPr>
        <w:t>. S</w:t>
      </w:r>
      <w:r w:rsidR="006F0FB8" w:rsidRPr="006F0FB8">
        <w:rPr>
          <w:szCs w:val="22"/>
        </w:rPr>
        <w:t>tudents will be given one set of scrubs in Year 1, one set of scrubs in Year 2, and a further set of scrubs in year 3.</w:t>
      </w:r>
      <w:r w:rsidR="006F0FB8">
        <w:rPr>
          <w:szCs w:val="22"/>
        </w:rPr>
        <w:t xml:space="preserve"> Scrubs ensure students are easily identifiable as Bristol medical students, decrease the need to buy smart clothes for clinical placements and help with student financial hardship. If students are wearing scrubs during travel, they should only</w:t>
      </w:r>
      <w:r w:rsidR="006F0FB8" w:rsidRPr="006F0FB8">
        <w:rPr>
          <w:szCs w:val="22"/>
        </w:rPr>
        <w:t xml:space="preserve"> travel directly to their </w:t>
      </w:r>
      <w:r w:rsidR="002F5D2F">
        <w:rPr>
          <w:szCs w:val="22"/>
        </w:rPr>
        <w:t xml:space="preserve">GP </w:t>
      </w:r>
      <w:r w:rsidR="006F0FB8" w:rsidRPr="006F0FB8">
        <w:rPr>
          <w:szCs w:val="22"/>
        </w:rPr>
        <w:t>placement and cover their scrubs</w:t>
      </w:r>
      <w:r w:rsidR="006F0FB8">
        <w:rPr>
          <w:szCs w:val="22"/>
        </w:rPr>
        <w:t xml:space="preserve"> and identity badges</w:t>
      </w:r>
      <w:r w:rsidR="006F0FB8" w:rsidRPr="006F0FB8">
        <w:rPr>
          <w:szCs w:val="22"/>
        </w:rPr>
        <w:t xml:space="preserve"> whilst in transit</w:t>
      </w:r>
      <w:r w:rsidR="006F0FB8">
        <w:rPr>
          <w:szCs w:val="22"/>
        </w:rPr>
        <w:t>.</w:t>
      </w:r>
    </w:p>
    <w:p w14:paraId="46E2A86E" w14:textId="77777777" w:rsidR="006F0FB8" w:rsidRDefault="006F0FB8" w:rsidP="006F0FB8">
      <w:pPr>
        <w:spacing w:after="0" w:line="240" w:lineRule="auto"/>
        <w:rPr>
          <w:szCs w:val="22"/>
        </w:rPr>
      </w:pPr>
    </w:p>
    <w:p w14:paraId="12462C4E" w14:textId="09F93274" w:rsidR="006F0FB8" w:rsidRDefault="006F0FB8" w:rsidP="006F0FB8">
      <w:pPr>
        <w:spacing w:after="0" w:line="240" w:lineRule="auto"/>
        <w:rPr>
          <w:rFonts w:eastAsia="Segoe UI"/>
          <w:szCs w:val="22"/>
        </w:rPr>
      </w:pPr>
      <w:r>
        <w:rPr>
          <w:szCs w:val="22"/>
        </w:rPr>
        <w:t xml:space="preserve">There is a </w:t>
      </w:r>
      <w:r w:rsidRPr="00C76BBD">
        <w:rPr>
          <w:szCs w:val="22"/>
        </w:rPr>
        <w:t xml:space="preserve">detailed Medical </w:t>
      </w:r>
      <w:r w:rsidR="002F5D2F">
        <w:rPr>
          <w:szCs w:val="22"/>
        </w:rPr>
        <w:t>S</w:t>
      </w:r>
      <w:r w:rsidRPr="00C76BBD">
        <w:rPr>
          <w:szCs w:val="22"/>
        </w:rPr>
        <w:t>chool dress code poli</w:t>
      </w:r>
      <w:r>
        <w:rPr>
          <w:szCs w:val="22"/>
        </w:rPr>
        <w:t>cy which</w:t>
      </w:r>
      <w:r w:rsidRPr="00C76BBD">
        <w:rPr>
          <w:szCs w:val="22"/>
        </w:rPr>
        <w:t xml:space="preserve"> includes guidance for alternative smart</w:t>
      </w:r>
      <w:r>
        <w:rPr>
          <w:szCs w:val="22"/>
        </w:rPr>
        <w:t xml:space="preserve">-causal </w:t>
      </w:r>
      <w:r w:rsidRPr="00C76BBD">
        <w:rPr>
          <w:szCs w:val="22"/>
        </w:rPr>
        <w:t xml:space="preserve">clothing for </w:t>
      </w:r>
      <w:r>
        <w:rPr>
          <w:szCs w:val="22"/>
        </w:rPr>
        <w:t>c</w:t>
      </w:r>
      <w:r w:rsidRPr="00C76BBD">
        <w:rPr>
          <w:szCs w:val="22"/>
        </w:rPr>
        <w:t xml:space="preserve">linical placements if students or </w:t>
      </w:r>
      <w:r>
        <w:rPr>
          <w:szCs w:val="22"/>
        </w:rPr>
        <w:t xml:space="preserve">GP </w:t>
      </w:r>
      <w:r w:rsidRPr="00C76BBD">
        <w:rPr>
          <w:szCs w:val="22"/>
        </w:rPr>
        <w:t>practices prefer this</w:t>
      </w:r>
      <w:r>
        <w:rPr>
          <w:szCs w:val="22"/>
        </w:rPr>
        <w:t>,</w:t>
      </w:r>
      <w:r w:rsidRPr="00C76BBD">
        <w:rPr>
          <w:szCs w:val="22"/>
        </w:rPr>
        <w:t xml:space="preserve"> or</w:t>
      </w:r>
      <w:r>
        <w:rPr>
          <w:szCs w:val="22"/>
        </w:rPr>
        <w:t xml:space="preserve"> if</w:t>
      </w:r>
      <w:r w:rsidRPr="00C76BBD">
        <w:rPr>
          <w:szCs w:val="22"/>
        </w:rPr>
        <w:t xml:space="preserve"> the scrubs have not yet been distributed.</w:t>
      </w:r>
      <w:r w:rsidRPr="006F0FB8">
        <w:rPr>
          <w:rFonts w:eastAsia="Segoe UI"/>
          <w:szCs w:val="22"/>
        </w:rPr>
        <w:t xml:space="preserve"> </w:t>
      </w:r>
      <w:r w:rsidR="002F5D2F">
        <w:rPr>
          <w:rFonts w:eastAsia="Segoe UI"/>
          <w:szCs w:val="22"/>
        </w:rPr>
        <w:t xml:space="preserve">These documents are not accessible to GP teachers so please contact PHC if you have any questions or concerns regarding dress code, and we can advise accordingly. </w:t>
      </w:r>
      <w:r>
        <w:rPr>
          <w:rFonts w:eastAsia="Segoe UI"/>
          <w:szCs w:val="22"/>
        </w:rPr>
        <w:t>However, we wanted to highlight the following from the University ‘dress code for clinical areas’ policy</w:t>
      </w:r>
      <w:r w:rsidR="002F5D2F">
        <w:rPr>
          <w:rFonts w:eastAsia="Segoe UI"/>
          <w:szCs w:val="22"/>
        </w:rPr>
        <w:t>:</w:t>
      </w:r>
    </w:p>
    <w:p w14:paraId="51E4C799" w14:textId="26C54D62" w:rsidR="006F0FB8" w:rsidRPr="006F0FB8" w:rsidRDefault="006F0FB8" w:rsidP="006F0FB8">
      <w:pPr>
        <w:numPr>
          <w:ilvl w:val="0"/>
          <w:numId w:val="15"/>
        </w:numPr>
        <w:spacing w:after="0" w:line="240" w:lineRule="auto"/>
        <w:rPr>
          <w:szCs w:val="22"/>
        </w:rPr>
      </w:pPr>
      <w:r w:rsidRPr="006F0FB8">
        <w:rPr>
          <w:szCs w:val="22"/>
        </w:rPr>
        <w:t>Wear shoes which are smart, neat, clean and comfortable. Shoes should ideally have closed toes and soft soles. In a change to previous policy</w:t>
      </w:r>
      <w:r>
        <w:rPr>
          <w:szCs w:val="22"/>
        </w:rPr>
        <w:t>, clean</w:t>
      </w:r>
      <w:r w:rsidRPr="006F0FB8">
        <w:rPr>
          <w:szCs w:val="22"/>
        </w:rPr>
        <w:t xml:space="preserve"> </w:t>
      </w:r>
      <w:r w:rsidRPr="006F0FB8">
        <w:rPr>
          <w:b/>
          <w:bCs/>
          <w:szCs w:val="22"/>
        </w:rPr>
        <w:t>trainers</w:t>
      </w:r>
      <w:r w:rsidRPr="006F0FB8">
        <w:rPr>
          <w:szCs w:val="22"/>
        </w:rPr>
        <w:t xml:space="preserve"> are now regarded as acceptable footwear  </w:t>
      </w:r>
    </w:p>
    <w:p w14:paraId="52415B3D" w14:textId="77777777" w:rsidR="006F0FB8" w:rsidRDefault="006F0FB8" w:rsidP="006F0FB8">
      <w:pPr>
        <w:pStyle w:val="ListParagraph"/>
        <w:numPr>
          <w:ilvl w:val="0"/>
          <w:numId w:val="15"/>
        </w:numPr>
        <w:spacing w:after="0" w:line="240" w:lineRule="auto"/>
        <w:rPr>
          <w:rFonts w:eastAsia="Segoe UI"/>
          <w:szCs w:val="22"/>
        </w:rPr>
      </w:pPr>
      <w:r w:rsidRPr="006F0FB8">
        <w:rPr>
          <w:rFonts w:eastAsia="Segoe UI"/>
          <w:szCs w:val="22"/>
        </w:rPr>
        <w:t xml:space="preserve">All students may wear smart knee length </w:t>
      </w:r>
      <w:r w:rsidRPr="006F0FB8">
        <w:rPr>
          <w:rFonts w:eastAsia="Segoe UI"/>
          <w:b/>
          <w:bCs/>
          <w:szCs w:val="22"/>
        </w:rPr>
        <w:t>shorts</w:t>
      </w:r>
      <w:r w:rsidRPr="006F0FB8">
        <w:rPr>
          <w:rFonts w:eastAsia="Segoe UI"/>
          <w:szCs w:val="22"/>
        </w:rPr>
        <w:t xml:space="preserve"> during periods of warm weather or where appropriate for medical reasons. These must be plain.</w:t>
      </w:r>
    </w:p>
    <w:p w14:paraId="7DF38B49" w14:textId="71F9C0F0" w:rsidR="006F0FB8" w:rsidRPr="006F0FB8" w:rsidRDefault="006F0FB8" w:rsidP="006F0FB8">
      <w:pPr>
        <w:pStyle w:val="ListParagraph"/>
        <w:numPr>
          <w:ilvl w:val="0"/>
          <w:numId w:val="15"/>
        </w:numPr>
        <w:spacing w:after="0" w:line="240" w:lineRule="auto"/>
        <w:rPr>
          <w:rFonts w:eastAsia="Segoe UI"/>
          <w:szCs w:val="22"/>
        </w:rPr>
      </w:pPr>
      <w:r w:rsidRPr="00572796">
        <w:rPr>
          <w:rFonts w:eastAsia="Segoe UI"/>
          <w:b/>
          <w:bCs/>
          <w:szCs w:val="22"/>
        </w:rPr>
        <w:t>Jewellery/adornments</w:t>
      </w:r>
      <w:r>
        <w:rPr>
          <w:rFonts w:eastAsia="Segoe UI"/>
          <w:szCs w:val="22"/>
        </w:rPr>
        <w:t xml:space="preserve"> that can be worn include </w:t>
      </w:r>
    </w:p>
    <w:p w14:paraId="632721CD" w14:textId="77777777" w:rsidR="006F0FB8" w:rsidRDefault="006F0FB8" w:rsidP="006F0FB8">
      <w:pPr>
        <w:pStyle w:val="ListParagraph"/>
        <w:numPr>
          <w:ilvl w:val="1"/>
          <w:numId w:val="15"/>
        </w:numPr>
        <w:spacing w:after="0" w:line="240" w:lineRule="auto"/>
        <w:rPr>
          <w:rFonts w:eastAsia="Segoe UI"/>
          <w:szCs w:val="22"/>
        </w:rPr>
      </w:pPr>
      <w:r w:rsidRPr="006F0FB8">
        <w:rPr>
          <w:rFonts w:eastAsia="Segoe UI"/>
          <w:szCs w:val="22"/>
        </w:rPr>
        <w:t>Medical alert jewellery</w:t>
      </w:r>
    </w:p>
    <w:p w14:paraId="2DC5781A" w14:textId="77777777" w:rsidR="006F0FB8" w:rsidRDefault="006F0FB8" w:rsidP="006F0FB8">
      <w:pPr>
        <w:pStyle w:val="ListParagraph"/>
        <w:numPr>
          <w:ilvl w:val="1"/>
          <w:numId w:val="15"/>
        </w:numPr>
        <w:spacing w:after="0" w:line="240" w:lineRule="auto"/>
        <w:rPr>
          <w:rFonts w:eastAsia="Segoe UI"/>
          <w:szCs w:val="22"/>
        </w:rPr>
      </w:pPr>
      <w:r w:rsidRPr="006F0FB8">
        <w:rPr>
          <w:rFonts w:eastAsia="Segoe UI"/>
          <w:szCs w:val="22"/>
        </w:rPr>
        <w:t>One plain symbolic band ring</w:t>
      </w:r>
    </w:p>
    <w:p w14:paraId="29E93789" w14:textId="6B0F107A" w:rsidR="006F0FB8" w:rsidRPr="006F0FB8" w:rsidRDefault="006F0FB8" w:rsidP="006F0FB8">
      <w:pPr>
        <w:pStyle w:val="ListParagraph"/>
        <w:numPr>
          <w:ilvl w:val="1"/>
          <w:numId w:val="15"/>
        </w:numPr>
        <w:spacing w:after="0" w:line="240" w:lineRule="auto"/>
        <w:rPr>
          <w:rFonts w:eastAsia="Segoe UI"/>
          <w:szCs w:val="22"/>
        </w:rPr>
      </w:pPr>
      <w:r w:rsidRPr="006F0FB8">
        <w:rPr>
          <w:rFonts w:eastAsia="Segoe UI"/>
          <w:szCs w:val="22"/>
        </w:rPr>
        <w:lastRenderedPageBreak/>
        <w:t xml:space="preserve">One plain bracelet </w:t>
      </w:r>
      <w:r>
        <w:rPr>
          <w:rFonts w:eastAsia="Segoe UI"/>
          <w:szCs w:val="22"/>
        </w:rPr>
        <w:t xml:space="preserve">e.g. </w:t>
      </w:r>
      <w:proofErr w:type="spellStart"/>
      <w:r w:rsidRPr="006F0FB8">
        <w:rPr>
          <w:rFonts w:eastAsia="Segoe UI"/>
          <w:szCs w:val="22"/>
        </w:rPr>
        <w:t>Kautuka</w:t>
      </w:r>
      <w:proofErr w:type="spellEnd"/>
      <w:r w:rsidRPr="006F0FB8">
        <w:rPr>
          <w:rFonts w:eastAsia="Segoe UI"/>
          <w:szCs w:val="22"/>
        </w:rPr>
        <w:t xml:space="preserve"> </w:t>
      </w:r>
      <w:r>
        <w:rPr>
          <w:rFonts w:eastAsia="Segoe UI"/>
          <w:szCs w:val="22"/>
        </w:rPr>
        <w:t>(</w:t>
      </w:r>
      <w:r w:rsidRPr="006F0FB8">
        <w:rPr>
          <w:rFonts w:eastAsia="Segoe UI"/>
          <w:szCs w:val="22"/>
        </w:rPr>
        <w:t>rel</w:t>
      </w:r>
      <w:r w:rsidR="00C0647F">
        <w:rPr>
          <w:rFonts w:eastAsia="Segoe UI"/>
          <w:szCs w:val="22"/>
        </w:rPr>
        <w:t>i</w:t>
      </w:r>
      <w:r w:rsidRPr="006F0FB8">
        <w:rPr>
          <w:rFonts w:eastAsia="Segoe UI"/>
          <w:szCs w:val="22"/>
        </w:rPr>
        <w:t>gious thread worn on the wrist</w:t>
      </w:r>
      <w:r>
        <w:rPr>
          <w:rFonts w:eastAsia="Segoe UI"/>
          <w:szCs w:val="22"/>
        </w:rPr>
        <w:t xml:space="preserve"> by Hindus) or </w:t>
      </w:r>
      <w:r w:rsidRPr="006F0FB8">
        <w:rPr>
          <w:rFonts w:eastAsia="Segoe UI"/>
          <w:szCs w:val="22"/>
        </w:rPr>
        <w:t xml:space="preserve">Kara </w:t>
      </w:r>
      <w:r>
        <w:rPr>
          <w:rFonts w:eastAsia="Segoe UI"/>
          <w:szCs w:val="22"/>
        </w:rPr>
        <w:t>(</w:t>
      </w:r>
      <w:r w:rsidR="00C0647F">
        <w:rPr>
          <w:rFonts w:eastAsia="Segoe UI"/>
          <w:szCs w:val="22"/>
        </w:rPr>
        <w:t xml:space="preserve">plain </w:t>
      </w:r>
      <w:r>
        <w:rPr>
          <w:rFonts w:eastAsia="Segoe UI"/>
          <w:szCs w:val="22"/>
        </w:rPr>
        <w:t xml:space="preserve">steel or iron bangle worn by Sikhs) </w:t>
      </w:r>
      <w:r w:rsidRPr="006F0FB8">
        <w:rPr>
          <w:rFonts w:eastAsia="Segoe UI"/>
          <w:szCs w:val="22"/>
        </w:rPr>
        <w:t xml:space="preserve">for religious reasons provided this is washable </w:t>
      </w:r>
    </w:p>
    <w:p w14:paraId="73CEF968" w14:textId="7E386565" w:rsidR="006F0FB8" w:rsidRDefault="006F0FB8" w:rsidP="006F0FB8">
      <w:pPr>
        <w:pStyle w:val="ListParagraph"/>
        <w:numPr>
          <w:ilvl w:val="0"/>
          <w:numId w:val="15"/>
        </w:numPr>
        <w:spacing w:after="0" w:line="240" w:lineRule="auto"/>
        <w:rPr>
          <w:rFonts w:eastAsia="Segoe UI"/>
          <w:szCs w:val="22"/>
        </w:rPr>
      </w:pPr>
      <w:r w:rsidRPr="006F0FB8">
        <w:rPr>
          <w:rFonts w:eastAsia="Segoe UI"/>
          <w:b/>
          <w:bCs/>
          <w:szCs w:val="22"/>
        </w:rPr>
        <w:t>Head covers</w:t>
      </w:r>
      <w:r w:rsidRPr="006F0FB8">
        <w:rPr>
          <w:rFonts w:eastAsia="Segoe UI"/>
          <w:szCs w:val="22"/>
        </w:rPr>
        <w:t xml:space="preserve"> for religious</w:t>
      </w:r>
      <w:r>
        <w:rPr>
          <w:rFonts w:eastAsia="Segoe UI"/>
          <w:szCs w:val="22"/>
        </w:rPr>
        <w:t xml:space="preserve"> (e.g. hijab, turban, kippah, headscarf)</w:t>
      </w:r>
      <w:r w:rsidRPr="006F0FB8">
        <w:rPr>
          <w:rFonts w:eastAsia="Segoe UI"/>
          <w:szCs w:val="22"/>
        </w:rPr>
        <w:t xml:space="preserve"> or medical reasons</w:t>
      </w:r>
      <w:r w:rsidR="00C0647F">
        <w:rPr>
          <w:rFonts w:eastAsia="Segoe UI"/>
          <w:szCs w:val="22"/>
        </w:rPr>
        <w:t xml:space="preserve"> (e.g. alopecia, chemotherapy treatment etc.)</w:t>
      </w:r>
      <w:r w:rsidRPr="006F0FB8">
        <w:rPr>
          <w:rFonts w:eastAsia="Segoe UI"/>
          <w:szCs w:val="22"/>
        </w:rPr>
        <w:t xml:space="preserve"> are acceptable </w:t>
      </w:r>
    </w:p>
    <w:p w14:paraId="292DAA1D" w14:textId="5C5555E2" w:rsidR="002F5D2F" w:rsidRDefault="006F0FB8" w:rsidP="002F5D2F">
      <w:pPr>
        <w:pStyle w:val="ListParagraph"/>
        <w:numPr>
          <w:ilvl w:val="0"/>
          <w:numId w:val="15"/>
        </w:numPr>
        <w:spacing w:after="0" w:line="240" w:lineRule="auto"/>
        <w:rPr>
          <w:rFonts w:eastAsia="Segoe UI"/>
          <w:szCs w:val="22"/>
        </w:rPr>
      </w:pPr>
      <w:r w:rsidRPr="00572796">
        <w:rPr>
          <w:rFonts w:eastAsia="Segoe UI"/>
          <w:b/>
          <w:bCs/>
          <w:szCs w:val="22"/>
        </w:rPr>
        <w:t>Niqab</w:t>
      </w:r>
      <w:r>
        <w:rPr>
          <w:rFonts w:eastAsia="Segoe UI"/>
          <w:szCs w:val="22"/>
        </w:rPr>
        <w:t xml:space="preserve"> </w:t>
      </w:r>
      <w:r w:rsidRPr="006F0FB8">
        <w:rPr>
          <w:rFonts w:eastAsia="Segoe UI"/>
          <w:szCs w:val="22"/>
        </w:rPr>
        <w:t xml:space="preserve">(facial covering) </w:t>
      </w:r>
      <w:r>
        <w:rPr>
          <w:rFonts w:eastAsia="Segoe UI"/>
          <w:szCs w:val="22"/>
        </w:rPr>
        <w:t xml:space="preserve">worn </w:t>
      </w:r>
      <w:r w:rsidRPr="006F0FB8">
        <w:rPr>
          <w:rFonts w:eastAsia="Segoe UI"/>
          <w:szCs w:val="22"/>
        </w:rPr>
        <w:t>for religious reasons</w:t>
      </w:r>
      <w:r w:rsidR="00CC49FC">
        <w:rPr>
          <w:rFonts w:eastAsia="Segoe UI"/>
          <w:szCs w:val="22"/>
        </w:rPr>
        <w:t>. Students</w:t>
      </w:r>
      <w:r w:rsidRPr="006F0FB8">
        <w:rPr>
          <w:rFonts w:eastAsia="Segoe UI"/>
          <w:szCs w:val="22"/>
        </w:rPr>
        <w:t xml:space="preserve"> are expected to remove their niqab</w:t>
      </w:r>
      <w:r>
        <w:rPr>
          <w:rFonts w:eastAsia="Segoe UI"/>
          <w:szCs w:val="22"/>
        </w:rPr>
        <w:t xml:space="preserve"> on placement to </w:t>
      </w:r>
      <w:r w:rsidRPr="006F0FB8">
        <w:rPr>
          <w:rFonts w:eastAsia="Segoe UI"/>
          <w:szCs w:val="22"/>
        </w:rPr>
        <w:t>ensure that the</w:t>
      </w:r>
      <w:r w:rsidR="002F5D2F">
        <w:rPr>
          <w:rFonts w:eastAsia="Segoe UI"/>
          <w:szCs w:val="22"/>
        </w:rPr>
        <w:t>y</w:t>
      </w:r>
      <w:r w:rsidR="00CC49FC">
        <w:rPr>
          <w:rFonts w:eastAsia="Segoe UI"/>
          <w:szCs w:val="22"/>
        </w:rPr>
        <w:t xml:space="preserve"> are</w:t>
      </w:r>
      <w:r w:rsidRPr="006F0FB8">
        <w:rPr>
          <w:rFonts w:eastAsia="Segoe UI"/>
          <w:szCs w:val="22"/>
        </w:rPr>
        <w:t xml:space="preserve"> identifiable, and ensur</w:t>
      </w:r>
      <w:r w:rsidR="00CC49FC">
        <w:rPr>
          <w:rFonts w:eastAsia="Segoe UI"/>
          <w:szCs w:val="22"/>
        </w:rPr>
        <w:t>e</w:t>
      </w:r>
      <w:r w:rsidRPr="006F0FB8">
        <w:rPr>
          <w:rFonts w:eastAsia="Segoe UI"/>
          <w:szCs w:val="22"/>
        </w:rPr>
        <w:t xml:space="preserve"> communication is effective with patients, members of the public and/or colleagues</w:t>
      </w:r>
    </w:p>
    <w:p w14:paraId="18C61A17" w14:textId="77777777" w:rsidR="002F5D2F" w:rsidRDefault="002F5D2F" w:rsidP="002F5D2F">
      <w:pPr>
        <w:spacing w:after="0" w:line="240" w:lineRule="auto"/>
        <w:rPr>
          <w:rFonts w:eastAsia="Segoe UI"/>
          <w:szCs w:val="22"/>
        </w:rPr>
      </w:pPr>
    </w:p>
    <w:p w14:paraId="14E154BF" w14:textId="588D6B7F" w:rsidR="006907F8" w:rsidRPr="002F5D2F" w:rsidRDefault="002F5D2F" w:rsidP="00C76BBD">
      <w:pPr>
        <w:spacing w:after="0" w:line="240" w:lineRule="auto"/>
        <w:rPr>
          <w:rFonts w:eastAsia="Segoe UI"/>
          <w:szCs w:val="22"/>
        </w:rPr>
      </w:pPr>
      <w:r w:rsidRPr="002F5D2F">
        <w:rPr>
          <w:rFonts w:eastAsia="Segoe UI"/>
          <w:szCs w:val="22"/>
        </w:rPr>
        <w:t xml:space="preserve">We understand that individual GP Practices may have their own dress code policy which may be different to the Medical </w:t>
      </w:r>
      <w:r>
        <w:rPr>
          <w:rFonts w:eastAsia="Segoe UI"/>
          <w:szCs w:val="22"/>
        </w:rPr>
        <w:t>S</w:t>
      </w:r>
      <w:r w:rsidRPr="002F5D2F">
        <w:rPr>
          <w:rFonts w:eastAsia="Segoe UI"/>
          <w:szCs w:val="22"/>
        </w:rPr>
        <w:t xml:space="preserve">chool one. In this case the GP Practice dress code would take priority, but please do inform your students of the details of </w:t>
      </w:r>
      <w:r>
        <w:rPr>
          <w:rFonts w:eastAsia="Segoe UI"/>
          <w:szCs w:val="22"/>
        </w:rPr>
        <w:t xml:space="preserve">your </w:t>
      </w:r>
      <w:r w:rsidRPr="002F5D2F">
        <w:rPr>
          <w:rFonts w:eastAsia="Segoe UI"/>
          <w:szCs w:val="22"/>
        </w:rPr>
        <w:t xml:space="preserve">dress code before the placement starts and invite them to ask you if they have any questions. </w:t>
      </w:r>
    </w:p>
    <w:p w14:paraId="5799C9C7" w14:textId="77777777" w:rsidR="002F5D2F" w:rsidRPr="00C76BBD" w:rsidRDefault="002F5D2F" w:rsidP="00C76BBD">
      <w:pPr>
        <w:spacing w:after="0" w:line="240" w:lineRule="auto"/>
        <w:rPr>
          <w:szCs w:val="22"/>
        </w:rPr>
      </w:pPr>
    </w:p>
    <w:p w14:paraId="1658E9E2" w14:textId="79BDF961" w:rsidR="001B5DD2" w:rsidRPr="00C76BBD" w:rsidRDefault="004A6E0F" w:rsidP="00C76BBD">
      <w:pPr>
        <w:pStyle w:val="Heading2"/>
      </w:pPr>
      <w:r w:rsidRPr="00C76BBD">
        <w:t xml:space="preserve">Student mandatory training </w:t>
      </w:r>
    </w:p>
    <w:p w14:paraId="4E894002" w14:textId="53A61084" w:rsidR="001B5DD2" w:rsidRPr="001B5DD2" w:rsidRDefault="001B5DD2" w:rsidP="00C76BBD">
      <w:pPr>
        <w:spacing w:after="0" w:line="240" w:lineRule="auto"/>
        <w:rPr>
          <w:szCs w:val="22"/>
        </w:rPr>
      </w:pPr>
      <w:r w:rsidRPr="001B5DD2">
        <w:rPr>
          <w:szCs w:val="22"/>
        </w:rPr>
        <w:t xml:space="preserve">The following table details all e-Learning for Health that </w:t>
      </w:r>
      <w:r w:rsidRPr="00C76BBD">
        <w:rPr>
          <w:szCs w:val="22"/>
        </w:rPr>
        <w:t>students</w:t>
      </w:r>
      <w:r w:rsidRPr="001B5DD2">
        <w:rPr>
          <w:szCs w:val="22"/>
        </w:rPr>
        <w:t xml:space="preserve"> are required to complete over the course of </w:t>
      </w:r>
      <w:r w:rsidRPr="00C76BBD">
        <w:rPr>
          <w:szCs w:val="22"/>
        </w:rPr>
        <w:t>the</w:t>
      </w:r>
      <w:r w:rsidR="00D74F0C" w:rsidRPr="00C76BBD">
        <w:rPr>
          <w:szCs w:val="22"/>
        </w:rPr>
        <w:t>i</w:t>
      </w:r>
      <w:r w:rsidRPr="001B5DD2">
        <w:rPr>
          <w:szCs w:val="22"/>
        </w:rPr>
        <w:t xml:space="preserve">r studies. Some modules require updating each year (annually) whereas others are every 2 or 3 years. It is </w:t>
      </w:r>
      <w:r w:rsidR="00D74F0C" w:rsidRPr="00C76BBD">
        <w:rPr>
          <w:szCs w:val="22"/>
        </w:rPr>
        <w:t>their</w:t>
      </w:r>
      <w:r w:rsidRPr="001B5DD2">
        <w:rPr>
          <w:szCs w:val="22"/>
        </w:rPr>
        <w:t xml:space="preserve"> responsibility to keep up to date with all </w:t>
      </w:r>
      <w:r w:rsidR="00A836B3">
        <w:rPr>
          <w:szCs w:val="22"/>
        </w:rPr>
        <w:t xml:space="preserve">the </w:t>
      </w:r>
      <w:r w:rsidRPr="001B5DD2">
        <w:rPr>
          <w:szCs w:val="22"/>
        </w:rPr>
        <w:t xml:space="preserve">required e-learning </w:t>
      </w:r>
      <w:r w:rsidR="00D74F0C" w:rsidRPr="00C76BBD">
        <w:rPr>
          <w:szCs w:val="22"/>
        </w:rPr>
        <w:t>(</w:t>
      </w:r>
      <w:r w:rsidRPr="001B5DD2">
        <w:rPr>
          <w:szCs w:val="22"/>
        </w:rPr>
        <w:t xml:space="preserve">as </w:t>
      </w:r>
      <w:r w:rsidR="00D74F0C" w:rsidRPr="00C76BBD">
        <w:rPr>
          <w:szCs w:val="22"/>
        </w:rPr>
        <w:t>per the</w:t>
      </w:r>
      <w:r w:rsidRPr="001B5DD2">
        <w:rPr>
          <w:szCs w:val="22"/>
        </w:rPr>
        <w:t xml:space="preserve"> expect</w:t>
      </w:r>
      <w:r w:rsidR="00D74F0C" w:rsidRPr="00C76BBD">
        <w:rPr>
          <w:szCs w:val="22"/>
        </w:rPr>
        <w:t xml:space="preserve">ation </w:t>
      </w:r>
      <w:r w:rsidRPr="001B5DD2">
        <w:rPr>
          <w:szCs w:val="22"/>
        </w:rPr>
        <w:t>of all healthcare workers.</w:t>
      </w:r>
      <w:r w:rsidR="00C35BE9">
        <w:rPr>
          <w:szCs w:val="22"/>
        </w:rPr>
        <w:t>)</w:t>
      </w:r>
      <w:r w:rsidRPr="001B5DD2">
        <w:rPr>
          <w:szCs w:val="22"/>
        </w:rPr>
        <w:br/>
      </w:r>
      <w:r w:rsidRPr="001B5DD2">
        <w:rPr>
          <w:szCs w:val="22"/>
        </w:rPr>
        <w:br/>
        <w:t>An</w:t>
      </w:r>
      <w:r w:rsidRPr="001B5DD2">
        <w:rPr>
          <w:b/>
          <w:bCs/>
          <w:szCs w:val="22"/>
        </w:rPr>
        <w:t> a or b</w:t>
      </w:r>
      <w:r w:rsidRPr="001B5DD2">
        <w:rPr>
          <w:szCs w:val="22"/>
        </w:rPr>
        <w:t xml:space="preserve"> indicates that </w:t>
      </w:r>
      <w:r w:rsidR="00E20CAC" w:rsidRPr="00C76BBD">
        <w:rPr>
          <w:szCs w:val="22"/>
        </w:rPr>
        <w:t>a student</w:t>
      </w:r>
      <w:r w:rsidRPr="001B5DD2">
        <w:rPr>
          <w:szCs w:val="22"/>
        </w:rPr>
        <w:t xml:space="preserve"> should have an up-to-date module in that year of study, for the whole year of study.</w:t>
      </w:r>
    </w:p>
    <w:p w14:paraId="02695FAD" w14:textId="0043FCB7" w:rsidR="001B5DD2" w:rsidRPr="001B5DD2" w:rsidRDefault="001B5DD2" w:rsidP="00C76BBD">
      <w:pPr>
        <w:spacing w:after="0" w:line="240" w:lineRule="auto"/>
        <w:rPr>
          <w:szCs w:val="22"/>
        </w:rPr>
      </w:pPr>
      <w:r w:rsidRPr="001B5DD2">
        <w:rPr>
          <w:b/>
          <w:bCs/>
          <w:szCs w:val="22"/>
        </w:rPr>
        <w:t xml:space="preserve">a = before </w:t>
      </w:r>
      <w:r w:rsidR="00966E5B" w:rsidRPr="00C76BBD">
        <w:rPr>
          <w:b/>
          <w:bCs/>
          <w:szCs w:val="22"/>
        </w:rPr>
        <w:t>2</w:t>
      </w:r>
      <w:proofErr w:type="gramStart"/>
      <w:r w:rsidR="00966E5B" w:rsidRPr="00C76BBD">
        <w:rPr>
          <w:b/>
          <w:bCs/>
          <w:szCs w:val="22"/>
          <w:vertAlign w:val="superscript"/>
        </w:rPr>
        <w:t>nd</w:t>
      </w:r>
      <w:r w:rsidR="00966E5B" w:rsidRPr="00C76BBD">
        <w:rPr>
          <w:b/>
          <w:bCs/>
          <w:szCs w:val="22"/>
        </w:rPr>
        <w:t xml:space="preserve"> </w:t>
      </w:r>
      <w:r w:rsidRPr="001B5DD2">
        <w:rPr>
          <w:b/>
          <w:bCs/>
          <w:szCs w:val="22"/>
        </w:rPr>
        <w:t xml:space="preserve"> GP</w:t>
      </w:r>
      <w:proofErr w:type="gramEnd"/>
      <w:r w:rsidRPr="001B5DD2">
        <w:rPr>
          <w:b/>
          <w:bCs/>
          <w:szCs w:val="22"/>
        </w:rPr>
        <w:t xml:space="preserve"> placement in Foundations of Medicine (year 1 only)</w:t>
      </w:r>
      <w:r w:rsidRPr="001B5DD2">
        <w:rPr>
          <w:szCs w:val="22"/>
        </w:rPr>
        <w:br/>
      </w:r>
      <w:r w:rsidRPr="001B5DD2">
        <w:rPr>
          <w:b/>
          <w:bCs/>
          <w:szCs w:val="22"/>
        </w:rPr>
        <w:t>b = must have a valid certificate for entire academic year</w:t>
      </w:r>
    </w:p>
    <w:p w14:paraId="6AF720AA" w14:textId="1B7D171B" w:rsidR="000F5E23" w:rsidRPr="00C76BBD" w:rsidRDefault="00434F03" w:rsidP="00C76BBD">
      <w:pPr>
        <w:spacing w:after="0" w:line="240" w:lineRule="auto"/>
        <w:rPr>
          <w:szCs w:val="22"/>
        </w:rPr>
      </w:pPr>
      <w:r w:rsidRPr="00C76BBD">
        <w:rPr>
          <w:szCs w:val="22"/>
        </w:rPr>
        <w:t>Students are made aware that</w:t>
      </w:r>
      <w:r w:rsidR="001B5DD2" w:rsidRPr="001B5DD2">
        <w:rPr>
          <w:szCs w:val="22"/>
        </w:rPr>
        <w:t xml:space="preserve"> if e-learning expires</w:t>
      </w:r>
      <w:r w:rsidRPr="00C76BBD">
        <w:rPr>
          <w:szCs w:val="22"/>
        </w:rPr>
        <w:t xml:space="preserve"> mid-year they </w:t>
      </w:r>
      <w:r w:rsidR="001B5DD2" w:rsidRPr="001B5DD2">
        <w:rPr>
          <w:szCs w:val="22"/>
        </w:rPr>
        <w:t xml:space="preserve">will need to refresh by completing the module again. </w:t>
      </w:r>
      <w:r w:rsidR="00F87A77" w:rsidRPr="00C76BBD">
        <w:rPr>
          <w:szCs w:val="22"/>
        </w:rPr>
        <w:t>They are also told that failure to complete modules may mean that they are not permitted to attend GP placements</w:t>
      </w:r>
      <w:r w:rsidR="00C35BE9">
        <w:rPr>
          <w:szCs w:val="22"/>
        </w:rPr>
        <w:t>,</w:t>
      </w:r>
      <w:r w:rsidR="00F87A77" w:rsidRPr="00C76BBD">
        <w:rPr>
          <w:szCs w:val="22"/>
        </w:rPr>
        <w:t xml:space="preserve"> o</w:t>
      </w:r>
      <w:r w:rsidR="00C35BE9">
        <w:rPr>
          <w:szCs w:val="22"/>
        </w:rPr>
        <w:t>r</w:t>
      </w:r>
      <w:r w:rsidR="00F87A77" w:rsidRPr="00C76BBD">
        <w:rPr>
          <w:szCs w:val="22"/>
        </w:rPr>
        <w:t xml:space="preserve"> that a</w:t>
      </w:r>
      <w:r w:rsidR="001B5DD2" w:rsidRPr="001B5DD2">
        <w:rPr>
          <w:szCs w:val="22"/>
        </w:rPr>
        <w:t xml:space="preserve">cademies </w:t>
      </w:r>
      <w:r w:rsidR="00F87A77" w:rsidRPr="00C76BBD">
        <w:rPr>
          <w:szCs w:val="22"/>
        </w:rPr>
        <w:t>may</w:t>
      </w:r>
      <w:r w:rsidR="001B5DD2" w:rsidRPr="001B5DD2">
        <w:rPr>
          <w:szCs w:val="22"/>
        </w:rPr>
        <w:t xml:space="preserve"> refuse you entry onto Trust premises</w:t>
      </w:r>
      <w:r w:rsidR="00F87A77" w:rsidRPr="00C76BBD">
        <w:rPr>
          <w:szCs w:val="22"/>
        </w:rPr>
        <w:t xml:space="preserve">. </w:t>
      </w:r>
    </w:p>
    <w:tbl>
      <w:tblPr>
        <w:tblW w:w="9631" w:type="dxa"/>
        <w:tblBorders>
          <w:top w:val="outset" w:sz="6" w:space="0" w:color="auto"/>
          <w:left w:val="outset" w:sz="6" w:space="0" w:color="auto"/>
          <w:bottom w:val="outset" w:sz="6" w:space="0" w:color="auto"/>
          <w:right w:val="outset" w:sz="6" w:space="0" w:color="auto"/>
        </w:tblBorders>
        <w:shd w:val="clear" w:color="auto" w:fill="F4F4F4"/>
        <w:tblCellMar>
          <w:top w:w="84" w:type="dxa"/>
          <w:left w:w="84" w:type="dxa"/>
          <w:bottom w:w="84" w:type="dxa"/>
          <w:right w:w="84" w:type="dxa"/>
        </w:tblCellMar>
        <w:tblLook w:val="04A0" w:firstRow="1" w:lastRow="0" w:firstColumn="1" w:lastColumn="0" w:noHBand="0" w:noVBand="1"/>
        <w:tblDescription w:val="Hed"/>
      </w:tblPr>
      <w:tblGrid>
        <w:gridCol w:w="2258"/>
        <w:gridCol w:w="1417"/>
        <w:gridCol w:w="1301"/>
        <w:gridCol w:w="2246"/>
        <w:gridCol w:w="567"/>
        <w:gridCol w:w="425"/>
        <w:gridCol w:w="567"/>
        <w:gridCol w:w="425"/>
        <w:gridCol w:w="425"/>
      </w:tblGrid>
      <w:tr w:rsidR="000F7395" w:rsidRPr="008D0D68" w14:paraId="0788305D" w14:textId="77777777" w:rsidTr="00A53D06">
        <w:trPr>
          <w:tblHeader/>
        </w:trPr>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3FF7186" w14:textId="77777777" w:rsidR="000F7395" w:rsidRPr="008D0D68" w:rsidRDefault="000F7395" w:rsidP="00A53D06">
            <w:pPr>
              <w:rPr>
                <w:b/>
                <w:bCs/>
                <w:sz w:val="18"/>
                <w:szCs w:val="18"/>
              </w:rPr>
            </w:pPr>
            <w:r w:rsidRPr="008D0D68">
              <w:rPr>
                <w:b/>
                <w:bCs/>
                <w:sz w:val="18"/>
                <w:szCs w:val="18"/>
              </w:rPr>
              <w:t>e-Learning</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9B30197" w14:textId="77777777" w:rsidR="000F7395" w:rsidRPr="008D0D68" w:rsidRDefault="000F7395" w:rsidP="00A53D06">
            <w:pPr>
              <w:rPr>
                <w:b/>
                <w:bCs/>
                <w:sz w:val="18"/>
                <w:szCs w:val="18"/>
              </w:rPr>
            </w:pPr>
            <w:r w:rsidRPr="008D0D68">
              <w:rPr>
                <w:b/>
                <w:bCs/>
                <w:sz w:val="18"/>
                <w:szCs w:val="18"/>
              </w:rPr>
              <w:t>Has to be updated</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350C484" w14:textId="77777777" w:rsidR="000F7395" w:rsidRPr="008D0D68" w:rsidRDefault="000F7395" w:rsidP="00A53D06">
            <w:pPr>
              <w:rPr>
                <w:b/>
                <w:bCs/>
                <w:sz w:val="18"/>
                <w:szCs w:val="18"/>
              </w:rPr>
            </w:pPr>
            <w:r w:rsidRPr="008D0D68">
              <w:rPr>
                <w:b/>
                <w:bCs/>
                <w:sz w:val="18"/>
                <w:szCs w:val="18"/>
              </w:rPr>
              <w:t>Required by</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C8FBA71" w14:textId="77777777" w:rsidR="000F7395" w:rsidRPr="008D0D68" w:rsidRDefault="000F7395" w:rsidP="00A53D06">
            <w:pPr>
              <w:rPr>
                <w:b/>
                <w:bCs/>
                <w:sz w:val="18"/>
                <w:szCs w:val="18"/>
              </w:rPr>
            </w:pPr>
            <w:r w:rsidRPr="008D0D68">
              <w:rPr>
                <w:b/>
                <w:bCs/>
                <w:sz w:val="18"/>
                <w:szCs w:val="18"/>
              </w:rPr>
              <w:t>Programme</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0F06D9F" w14:textId="77777777" w:rsidR="000F7395" w:rsidRPr="008D0D68" w:rsidRDefault="000F7395" w:rsidP="00A53D06">
            <w:pPr>
              <w:rPr>
                <w:b/>
                <w:bCs/>
                <w:sz w:val="18"/>
                <w:szCs w:val="18"/>
              </w:rPr>
            </w:pPr>
            <w:r w:rsidRPr="008D0D68">
              <w:rPr>
                <w:b/>
                <w:bCs/>
                <w:sz w:val="18"/>
                <w:szCs w:val="18"/>
              </w:rPr>
              <w:t>Y1</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2AA4E3F" w14:textId="77777777" w:rsidR="000F7395" w:rsidRPr="008D0D68" w:rsidRDefault="000F7395" w:rsidP="00A53D06">
            <w:pPr>
              <w:rPr>
                <w:b/>
                <w:bCs/>
                <w:sz w:val="18"/>
                <w:szCs w:val="18"/>
              </w:rPr>
            </w:pPr>
            <w:r w:rsidRPr="008D0D68">
              <w:rPr>
                <w:b/>
                <w:bCs/>
                <w:sz w:val="18"/>
                <w:szCs w:val="18"/>
              </w:rPr>
              <w:t>Y2</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A88866D" w14:textId="77777777" w:rsidR="000F7395" w:rsidRPr="008D0D68" w:rsidRDefault="000F7395" w:rsidP="00A53D06">
            <w:pPr>
              <w:rPr>
                <w:b/>
                <w:bCs/>
                <w:sz w:val="18"/>
                <w:szCs w:val="18"/>
              </w:rPr>
            </w:pPr>
            <w:r w:rsidRPr="008D0D68">
              <w:rPr>
                <w:b/>
                <w:bCs/>
                <w:sz w:val="18"/>
                <w:szCs w:val="18"/>
              </w:rPr>
              <w:t>Y3</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299DEA3" w14:textId="77777777" w:rsidR="000F7395" w:rsidRPr="008D0D68" w:rsidRDefault="000F7395" w:rsidP="00A53D06">
            <w:pPr>
              <w:rPr>
                <w:b/>
                <w:bCs/>
                <w:sz w:val="18"/>
                <w:szCs w:val="18"/>
              </w:rPr>
            </w:pPr>
            <w:r w:rsidRPr="008D0D68">
              <w:rPr>
                <w:b/>
                <w:bCs/>
                <w:sz w:val="18"/>
                <w:szCs w:val="18"/>
              </w:rPr>
              <w:t>Y4</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3FEF84C" w14:textId="77777777" w:rsidR="000F7395" w:rsidRPr="008D0D68" w:rsidRDefault="000F7395" w:rsidP="00A53D06">
            <w:pPr>
              <w:rPr>
                <w:b/>
                <w:bCs/>
                <w:sz w:val="18"/>
                <w:szCs w:val="18"/>
              </w:rPr>
            </w:pPr>
            <w:r w:rsidRPr="008D0D68">
              <w:rPr>
                <w:b/>
                <w:bCs/>
                <w:sz w:val="18"/>
                <w:szCs w:val="18"/>
              </w:rPr>
              <w:t>Y5</w:t>
            </w:r>
          </w:p>
        </w:tc>
      </w:tr>
      <w:tr w:rsidR="000F7395" w:rsidRPr="008D0D68" w14:paraId="084A3D56"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EB40E78" w14:textId="77777777" w:rsidR="000F7395" w:rsidRPr="008D0D68" w:rsidRDefault="000F7395" w:rsidP="00A53D06">
            <w:pPr>
              <w:rPr>
                <w:sz w:val="18"/>
                <w:szCs w:val="18"/>
              </w:rPr>
            </w:pPr>
            <w:r w:rsidRPr="008D0D68">
              <w:rPr>
                <w:sz w:val="18"/>
                <w:szCs w:val="18"/>
              </w:rPr>
              <w:t>Safeguarding Children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C9BCB4A"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FD2AA79"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FE2E6EE"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EC225C8"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9304418"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BB12FC7"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7829DB7"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8E946B4" w14:textId="77777777" w:rsidR="000F7395" w:rsidRPr="008D0D68" w:rsidRDefault="000F7395" w:rsidP="00A53D06">
            <w:pPr>
              <w:rPr>
                <w:sz w:val="18"/>
                <w:szCs w:val="18"/>
              </w:rPr>
            </w:pPr>
            <w:r w:rsidRPr="008D0D68">
              <w:rPr>
                <w:sz w:val="18"/>
                <w:szCs w:val="18"/>
              </w:rPr>
              <w:t>b</w:t>
            </w:r>
          </w:p>
        </w:tc>
      </w:tr>
      <w:tr w:rsidR="000F7395" w:rsidRPr="008D0D68" w14:paraId="309CF8B8"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31FCCD5" w14:textId="77777777" w:rsidR="000F7395" w:rsidRPr="008D0D68" w:rsidRDefault="000F7395" w:rsidP="00A53D06">
            <w:pPr>
              <w:rPr>
                <w:sz w:val="18"/>
                <w:szCs w:val="18"/>
              </w:rPr>
            </w:pPr>
            <w:r w:rsidRPr="008D0D68">
              <w:rPr>
                <w:sz w:val="18"/>
                <w:szCs w:val="18"/>
              </w:rPr>
              <w:t>Safeguarding Children - Level 2</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601D0E3"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EB74F35"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9668DAE"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E56157E"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7834EFA"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3799C3F"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B6BE50B"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53EADC3" w14:textId="77777777" w:rsidR="000F7395" w:rsidRPr="008D0D68" w:rsidRDefault="000F7395" w:rsidP="00A53D06">
            <w:pPr>
              <w:rPr>
                <w:sz w:val="18"/>
                <w:szCs w:val="18"/>
              </w:rPr>
            </w:pPr>
            <w:r w:rsidRPr="008D0D68">
              <w:rPr>
                <w:sz w:val="18"/>
                <w:szCs w:val="18"/>
              </w:rPr>
              <w:t>b</w:t>
            </w:r>
          </w:p>
        </w:tc>
      </w:tr>
      <w:tr w:rsidR="000F7395" w:rsidRPr="008D0D68" w14:paraId="36EF7E38"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0FE6D62" w14:textId="77777777" w:rsidR="000F7395" w:rsidRPr="008D0D68" w:rsidRDefault="000F7395" w:rsidP="00A53D06">
            <w:pPr>
              <w:rPr>
                <w:sz w:val="18"/>
                <w:szCs w:val="18"/>
              </w:rPr>
            </w:pPr>
            <w:r w:rsidRPr="008D0D68">
              <w:rPr>
                <w:sz w:val="18"/>
                <w:szCs w:val="18"/>
              </w:rPr>
              <w:t>Data Security Awareness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BB70778" w14:textId="77777777" w:rsidR="000F7395" w:rsidRPr="008D0D68" w:rsidRDefault="000F7395" w:rsidP="00A53D06">
            <w:pPr>
              <w:rPr>
                <w:sz w:val="18"/>
                <w:szCs w:val="18"/>
              </w:rPr>
            </w:pPr>
            <w:r w:rsidRPr="008D0D68">
              <w:rPr>
                <w:sz w:val="18"/>
                <w:szCs w:val="18"/>
              </w:rPr>
              <w:t>Annually</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7A64949"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1561BF6"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F7B66D0"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C24071D"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D31BD4C"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837FDAC"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70BB370" w14:textId="77777777" w:rsidR="000F7395" w:rsidRPr="008D0D68" w:rsidRDefault="000F7395" w:rsidP="00A53D06">
            <w:pPr>
              <w:rPr>
                <w:sz w:val="18"/>
                <w:szCs w:val="18"/>
              </w:rPr>
            </w:pPr>
            <w:r w:rsidRPr="008D0D68">
              <w:rPr>
                <w:sz w:val="18"/>
                <w:szCs w:val="18"/>
              </w:rPr>
              <w:t>b</w:t>
            </w:r>
          </w:p>
        </w:tc>
      </w:tr>
      <w:tr w:rsidR="000F7395" w:rsidRPr="008D0D68" w14:paraId="0A1402A9"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CC9FC78" w14:textId="77777777" w:rsidR="000F7395" w:rsidRPr="008D0D68" w:rsidRDefault="000F7395" w:rsidP="00A53D06">
            <w:pPr>
              <w:rPr>
                <w:sz w:val="18"/>
                <w:szCs w:val="18"/>
              </w:rPr>
            </w:pPr>
            <w:r w:rsidRPr="008D0D68">
              <w:rPr>
                <w:sz w:val="18"/>
                <w:szCs w:val="18"/>
              </w:rPr>
              <w:t>Safeguarding Adults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BE73E12"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144EE0A"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C6CC3A3"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399FB10"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5416D28"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A0550ED"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8FE732E"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49598CE" w14:textId="77777777" w:rsidR="000F7395" w:rsidRPr="008D0D68" w:rsidRDefault="000F7395" w:rsidP="00A53D06">
            <w:pPr>
              <w:rPr>
                <w:sz w:val="18"/>
                <w:szCs w:val="18"/>
              </w:rPr>
            </w:pPr>
            <w:r w:rsidRPr="008D0D68">
              <w:rPr>
                <w:sz w:val="18"/>
                <w:szCs w:val="18"/>
              </w:rPr>
              <w:t>b</w:t>
            </w:r>
          </w:p>
        </w:tc>
      </w:tr>
      <w:tr w:rsidR="000F7395" w:rsidRPr="008D0D68" w14:paraId="3E20AA45"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CB6CF7B" w14:textId="77777777" w:rsidR="000F7395" w:rsidRPr="008D0D68" w:rsidRDefault="000F7395" w:rsidP="00A53D06">
            <w:pPr>
              <w:rPr>
                <w:sz w:val="18"/>
                <w:szCs w:val="18"/>
              </w:rPr>
            </w:pPr>
            <w:r w:rsidRPr="008D0D68">
              <w:rPr>
                <w:sz w:val="18"/>
                <w:szCs w:val="18"/>
              </w:rPr>
              <w:t>Equality and Diversity and Human Rights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C428377"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EBA47A5"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B5B4F7F"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9058AB6"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4A73E36"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F0A6C24"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DE388B5"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D00433F" w14:textId="77777777" w:rsidR="000F7395" w:rsidRPr="008D0D68" w:rsidRDefault="000F7395" w:rsidP="00A53D06">
            <w:pPr>
              <w:rPr>
                <w:sz w:val="18"/>
                <w:szCs w:val="18"/>
              </w:rPr>
            </w:pPr>
            <w:r w:rsidRPr="008D0D68">
              <w:rPr>
                <w:sz w:val="18"/>
                <w:szCs w:val="18"/>
              </w:rPr>
              <w:t>b</w:t>
            </w:r>
          </w:p>
        </w:tc>
      </w:tr>
      <w:tr w:rsidR="000F7395" w:rsidRPr="008D0D68" w14:paraId="7E22DA5A"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630DF94" w14:textId="77777777" w:rsidR="000F7395" w:rsidRPr="008D0D68" w:rsidRDefault="000F7395" w:rsidP="00A53D06">
            <w:pPr>
              <w:rPr>
                <w:sz w:val="18"/>
                <w:szCs w:val="18"/>
              </w:rPr>
            </w:pPr>
            <w:r w:rsidRPr="008D0D68">
              <w:rPr>
                <w:sz w:val="18"/>
                <w:szCs w:val="18"/>
              </w:rPr>
              <w:t>Fire Safety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BFDE152" w14:textId="77777777" w:rsidR="000F7395" w:rsidRPr="008D0D68" w:rsidRDefault="000F7395" w:rsidP="00A53D06">
            <w:pPr>
              <w:rPr>
                <w:sz w:val="18"/>
                <w:szCs w:val="18"/>
              </w:rPr>
            </w:pPr>
            <w:r w:rsidRPr="008D0D68">
              <w:rPr>
                <w:sz w:val="18"/>
                <w:szCs w:val="18"/>
              </w:rPr>
              <w:t>Annually</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5B9D53C"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53665D1"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2ECE90E"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5B587BE"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0254CB4"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1FC7692"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D5DAF82" w14:textId="77777777" w:rsidR="000F7395" w:rsidRPr="008D0D68" w:rsidRDefault="000F7395" w:rsidP="00A53D06">
            <w:pPr>
              <w:rPr>
                <w:sz w:val="18"/>
                <w:szCs w:val="18"/>
              </w:rPr>
            </w:pPr>
            <w:r w:rsidRPr="008D0D68">
              <w:rPr>
                <w:sz w:val="18"/>
                <w:szCs w:val="18"/>
              </w:rPr>
              <w:t>b</w:t>
            </w:r>
          </w:p>
        </w:tc>
      </w:tr>
      <w:tr w:rsidR="000F7395" w:rsidRPr="008D0D68" w14:paraId="40B4AEB2"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A1F9D84" w14:textId="77777777" w:rsidR="000F7395" w:rsidRPr="008D0D68" w:rsidRDefault="000F7395" w:rsidP="00A53D06">
            <w:pPr>
              <w:rPr>
                <w:sz w:val="18"/>
                <w:szCs w:val="18"/>
              </w:rPr>
            </w:pPr>
            <w:r w:rsidRPr="008D0D68">
              <w:rPr>
                <w:sz w:val="18"/>
                <w:szCs w:val="18"/>
              </w:rPr>
              <w:lastRenderedPageBreak/>
              <w:t>Health, Safety and Welfare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9EA9D4E"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8A196B2"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A1F10F0"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4D9C512"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169FD03"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A1C1BC7"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3628A46"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65F4A5C" w14:textId="77777777" w:rsidR="000F7395" w:rsidRPr="008D0D68" w:rsidRDefault="000F7395" w:rsidP="00A53D06">
            <w:pPr>
              <w:rPr>
                <w:sz w:val="18"/>
                <w:szCs w:val="18"/>
              </w:rPr>
            </w:pPr>
            <w:r w:rsidRPr="008D0D68">
              <w:rPr>
                <w:sz w:val="18"/>
                <w:szCs w:val="18"/>
              </w:rPr>
              <w:t>b</w:t>
            </w:r>
          </w:p>
        </w:tc>
      </w:tr>
      <w:tr w:rsidR="000F7395" w:rsidRPr="008D0D68" w14:paraId="10A2E1CE"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E9EC57E" w14:textId="77777777" w:rsidR="000F7395" w:rsidRPr="008D0D68" w:rsidRDefault="000F7395" w:rsidP="00A53D06">
            <w:pPr>
              <w:rPr>
                <w:sz w:val="18"/>
                <w:szCs w:val="18"/>
              </w:rPr>
            </w:pPr>
            <w:r w:rsidRPr="008D0D68">
              <w:rPr>
                <w:sz w:val="18"/>
                <w:szCs w:val="18"/>
              </w:rPr>
              <w:t>Infection Prevention and Control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C0B6304" w14:textId="77777777" w:rsidR="000F7395" w:rsidRPr="008D0D68" w:rsidRDefault="000F7395" w:rsidP="00A53D06">
            <w:pPr>
              <w:rPr>
                <w:sz w:val="18"/>
                <w:szCs w:val="18"/>
              </w:rPr>
            </w:pPr>
            <w:r w:rsidRPr="008D0D68">
              <w:rPr>
                <w:sz w:val="18"/>
                <w:szCs w:val="18"/>
              </w:rPr>
              <w:t>Every 2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BE26E30"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8AA0A31"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E55E314"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FF531AF"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C7FE1FC"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10D7178"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BC6B1E0" w14:textId="77777777" w:rsidR="000F7395" w:rsidRPr="008D0D68" w:rsidRDefault="000F7395" w:rsidP="00A53D06">
            <w:pPr>
              <w:rPr>
                <w:sz w:val="18"/>
                <w:szCs w:val="18"/>
              </w:rPr>
            </w:pPr>
            <w:r w:rsidRPr="008D0D68">
              <w:rPr>
                <w:sz w:val="18"/>
                <w:szCs w:val="18"/>
              </w:rPr>
              <w:t>b</w:t>
            </w:r>
          </w:p>
        </w:tc>
      </w:tr>
      <w:tr w:rsidR="000F7395" w:rsidRPr="008D0D68" w14:paraId="52B66FE8"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3BD4B6A" w14:textId="77777777" w:rsidR="000F7395" w:rsidRPr="008D0D68" w:rsidRDefault="000F7395" w:rsidP="00A53D06">
            <w:pPr>
              <w:rPr>
                <w:sz w:val="18"/>
                <w:szCs w:val="18"/>
              </w:rPr>
            </w:pPr>
            <w:r w:rsidRPr="008D0D68">
              <w:rPr>
                <w:sz w:val="18"/>
                <w:szCs w:val="18"/>
              </w:rPr>
              <w:t>Infection Prevention and Control - Level 2</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0030876" w14:textId="77777777" w:rsidR="000F7395" w:rsidRPr="008D0D68" w:rsidRDefault="000F7395" w:rsidP="00A53D06">
            <w:pPr>
              <w:rPr>
                <w:sz w:val="18"/>
                <w:szCs w:val="18"/>
              </w:rPr>
            </w:pPr>
            <w:r w:rsidRPr="008D0D68">
              <w:rPr>
                <w:sz w:val="18"/>
                <w:szCs w:val="18"/>
              </w:rPr>
              <w:t>Every 2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F686060"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245FD9E"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21F7FD2"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D778AEE"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E19BF07"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CC23F0A"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2F9581F" w14:textId="77777777" w:rsidR="000F7395" w:rsidRPr="008D0D68" w:rsidRDefault="000F7395" w:rsidP="00A53D06">
            <w:pPr>
              <w:rPr>
                <w:sz w:val="18"/>
                <w:szCs w:val="18"/>
              </w:rPr>
            </w:pPr>
            <w:r w:rsidRPr="008D0D68">
              <w:rPr>
                <w:sz w:val="18"/>
                <w:szCs w:val="18"/>
              </w:rPr>
              <w:t>b</w:t>
            </w:r>
          </w:p>
        </w:tc>
      </w:tr>
      <w:tr w:rsidR="000F7395" w:rsidRPr="008D0D68" w14:paraId="0357FBBD"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BEFFE88" w14:textId="77777777" w:rsidR="000F7395" w:rsidRPr="008D0D68" w:rsidRDefault="000F7395" w:rsidP="00A53D06">
            <w:pPr>
              <w:rPr>
                <w:sz w:val="18"/>
                <w:szCs w:val="18"/>
              </w:rPr>
            </w:pPr>
            <w:r w:rsidRPr="008D0D68">
              <w:rPr>
                <w:sz w:val="18"/>
                <w:szCs w:val="18"/>
              </w:rPr>
              <w:t>Moving and Handling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1048CCA" w14:textId="77777777" w:rsidR="000F7395" w:rsidRPr="008D0D68" w:rsidRDefault="000F7395" w:rsidP="00A53D06">
            <w:pPr>
              <w:rPr>
                <w:sz w:val="18"/>
                <w:szCs w:val="18"/>
              </w:rPr>
            </w:pPr>
            <w:r w:rsidRPr="008D0D68">
              <w:rPr>
                <w:sz w:val="18"/>
                <w:szCs w:val="18"/>
              </w:rPr>
              <w:t>Every 2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699CBA5"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5263D80"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712448F" w14:textId="77777777" w:rsidR="000F7395" w:rsidRPr="008D0D68" w:rsidRDefault="000F7395" w:rsidP="00A53D06">
            <w:pPr>
              <w:rPr>
                <w:sz w:val="18"/>
                <w:szCs w:val="18"/>
              </w:rPr>
            </w:pPr>
            <w:r w:rsidRPr="008D0D68">
              <w:rPr>
                <w:sz w:val="18"/>
                <w:szCs w:val="18"/>
              </w:rPr>
              <w:t>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2DCF724"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2020E13"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3E2BB41"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C3689F9" w14:textId="77777777" w:rsidR="000F7395" w:rsidRPr="008D0D68" w:rsidRDefault="000F7395" w:rsidP="00A53D06">
            <w:pPr>
              <w:rPr>
                <w:sz w:val="18"/>
                <w:szCs w:val="18"/>
              </w:rPr>
            </w:pPr>
            <w:r w:rsidRPr="008D0D68">
              <w:rPr>
                <w:sz w:val="18"/>
                <w:szCs w:val="18"/>
              </w:rPr>
              <w:t>b</w:t>
            </w:r>
          </w:p>
        </w:tc>
      </w:tr>
      <w:tr w:rsidR="000F7395" w:rsidRPr="008D0D68" w14:paraId="31CCA89D"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16132E3" w14:textId="77777777" w:rsidR="000F7395" w:rsidRPr="008D0D68" w:rsidRDefault="000F7395" w:rsidP="00A53D06">
            <w:pPr>
              <w:rPr>
                <w:sz w:val="18"/>
                <w:szCs w:val="18"/>
              </w:rPr>
            </w:pPr>
            <w:r w:rsidRPr="008D0D68">
              <w:rPr>
                <w:sz w:val="18"/>
                <w:szCs w:val="18"/>
              </w:rPr>
              <w:t>Mental Capacity Act and Adult Safeguarding</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8EA1544"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73EB3A2"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B7E3734" w14:textId="77777777" w:rsidR="000F7395" w:rsidRPr="008D0D68" w:rsidRDefault="000F7395" w:rsidP="00A53D06">
            <w:pPr>
              <w:rPr>
                <w:sz w:val="18"/>
                <w:szCs w:val="18"/>
              </w:rPr>
            </w:pPr>
            <w:r w:rsidRPr="008D0D68">
              <w:rPr>
                <w:sz w:val="18"/>
                <w:szCs w:val="18"/>
              </w:rPr>
              <w:t>Mental Capacity Act</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4188859"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C33C2F4"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8CAF7F7"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D9772CE"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61C2BE3" w14:textId="77777777" w:rsidR="000F7395" w:rsidRPr="008D0D68" w:rsidRDefault="000F7395" w:rsidP="00A53D06">
            <w:pPr>
              <w:rPr>
                <w:sz w:val="18"/>
                <w:szCs w:val="18"/>
              </w:rPr>
            </w:pPr>
            <w:r w:rsidRPr="008D0D68">
              <w:rPr>
                <w:sz w:val="18"/>
                <w:szCs w:val="18"/>
              </w:rPr>
              <w:t>b</w:t>
            </w:r>
          </w:p>
        </w:tc>
      </w:tr>
      <w:tr w:rsidR="000F7395" w:rsidRPr="008D0D68" w14:paraId="328E7BDB"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36D6056" w14:textId="77777777" w:rsidR="000F7395" w:rsidRPr="008D0D68" w:rsidRDefault="000F7395" w:rsidP="00A53D06">
            <w:pPr>
              <w:rPr>
                <w:sz w:val="18"/>
                <w:szCs w:val="18"/>
              </w:rPr>
            </w:pPr>
            <w:r w:rsidRPr="008D0D68">
              <w:rPr>
                <w:sz w:val="18"/>
                <w:szCs w:val="18"/>
              </w:rPr>
              <w:t>Resuscitation Adults - Level 2</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61579CA" w14:textId="77777777" w:rsidR="000F7395" w:rsidRPr="008D0D68" w:rsidRDefault="000F7395" w:rsidP="00A53D06">
            <w:pPr>
              <w:rPr>
                <w:sz w:val="18"/>
                <w:szCs w:val="18"/>
              </w:rPr>
            </w:pPr>
            <w:r w:rsidRPr="008D0D68">
              <w:rPr>
                <w:sz w:val="18"/>
                <w:szCs w:val="18"/>
              </w:rPr>
              <w:t>Every 2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0EE1D36"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9E390DD"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A392583"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D60C10C"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3DAB484"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84BE68D"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2D86459" w14:textId="77777777" w:rsidR="000F7395" w:rsidRPr="008D0D68" w:rsidRDefault="000F7395" w:rsidP="00A53D06">
            <w:pPr>
              <w:rPr>
                <w:sz w:val="18"/>
                <w:szCs w:val="18"/>
              </w:rPr>
            </w:pPr>
            <w:r w:rsidRPr="008D0D68">
              <w:rPr>
                <w:sz w:val="18"/>
                <w:szCs w:val="18"/>
              </w:rPr>
              <w:t>b</w:t>
            </w:r>
          </w:p>
        </w:tc>
      </w:tr>
      <w:tr w:rsidR="000F7395" w:rsidRPr="008D0D68" w14:paraId="56024D9B"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F324C04" w14:textId="77777777" w:rsidR="000F7395" w:rsidRPr="008D0D68" w:rsidRDefault="000F7395" w:rsidP="00A53D06">
            <w:pPr>
              <w:rPr>
                <w:sz w:val="18"/>
                <w:szCs w:val="18"/>
              </w:rPr>
            </w:pPr>
            <w:r w:rsidRPr="008D0D68">
              <w:rPr>
                <w:sz w:val="18"/>
                <w:szCs w:val="18"/>
              </w:rPr>
              <w:t>01_07 Chaperones and Consent</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79AE58E" w14:textId="77777777" w:rsidR="000F7395" w:rsidRPr="008D0D68" w:rsidRDefault="000F7395" w:rsidP="00A53D06">
            <w:pPr>
              <w:rPr>
                <w:sz w:val="18"/>
                <w:szCs w:val="18"/>
              </w:rPr>
            </w:pPr>
            <w:r w:rsidRPr="008D0D68">
              <w:rPr>
                <w:sz w:val="18"/>
                <w:szCs w:val="18"/>
              </w:rPr>
              <w:t>Once only</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C6569F4"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99E88AA" w14:textId="77777777" w:rsidR="000F7395" w:rsidRPr="008D0D68" w:rsidRDefault="000F7395" w:rsidP="00A53D06">
            <w:pPr>
              <w:rPr>
                <w:sz w:val="18"/>
                <w:szCs w:val="18"/>
              </w:rPr>
            </w:pPr>
            <w:r w:rsidRPr="008D0D68">
              <w:rPr>
                <w:sz w:val="18"/>
                <w:szCs w:val="18"/>
              </w:rPr>
              <w:t>Approach to Patient module of the Sexual Health &amp; HIV</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1ED9F1F"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3FE5F66" w14:textId="77777777" w:rsidR="000F7395" w:rsidRPr="008D0D68" w:rsidRDefault="000F7395" w:rsidP="00A53D06">
            <w:pPr>
              <w:rPr>
                <w:sz w:val="18"/>
                <w:szCs w:val="18"/>
              </w:rPr>
            </w:pPr>
            <w:r w:rsidRPr="008D0D68">
              <w:rPr>
                <w:sz w:val="18"/>
                <w:szCs w:val="18"/>
              </w:rPr>
              <w:t>n/a</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09E9EB4"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03B2048"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752292B" w14:textId="77777777" w:rsidR="000F7395" w:rsidRPr="008D0D68" w:rsidRDefault="000F7395" w:rsidP="00A53D06">
            <w:pPr>
              <w:rPr>
                <w:sz w:val="18"/>
                <w:szCs w:val="18"/>
              </w:rPr>
            </w:pPr>
            <w:r w:rsidRPr="008D0D68">
              <w:rPr>
                <w:sz w:val="18"/>
                <w:szCs w:val="18"/>
              </w:rPr>
              <w:t>b</w:t>
            </w:r>
          </w:p>
        </w:tc>
      </w:tr>
      <w:tr w:rsidR="000F7395" w:rsidRPr="008D0D68" w14:paraId="79B2BC56"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1681E3C" w14:textId="77777777" w:rsidR="000F7395" w:rsidRPr="008D0D68" w:rsidRDefault="000F7395" w:rsidP="00A53D06">
            <w:pPr>
              <w:rPr>
                <w:sz w:val="18"/>
                <w:szCs w:val="18"/>
              </w:rPr>
            </w:pPr>
            <w:r w:rsidRPr="008D0D68">
              <w:rPr>
                <w:sz w:val="18"/>
                <w:szCs w:val="18"/>
              </w:rPr>
              <w:t>An Introduction to Anaphylaxis</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25C9EFF" w14:textId="77777777" w:rsidR="000F7395" w:rsidRPr="008D0D68" w:rsidRDefault="000F7395" w:rsidP="00A53D06">
            <w:pPr>
              <w:rPr>
                <w:sz w:val="18"/>
                <w:szCs w:val="18"/>
              </w:rPr>
            </w:pPr>
            <w:r w:rsidRPr="008D0D68">
              <w:rPr>
                <w:sz w:val="18"/>
                <w:szCs w:val="18"/>
              </w:rPr>
              <w:t>Once only</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64C3CC8"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5C49B94" w14:textId="77777777" w:rsidR="000F7395" w:rsidRPr="008D0D68" w:rsidRDefault="000F7395" w:rsidP="00A53D06">
            <w:pPr>
              <w:rPr>
                <w:sz w:val="18"/>
                <w:szCs w:val="18"/>
              </w:rPr>
            </w:pPr>
            <w:r w:rsidRPr="008D0D68">
              <w:rPr>
                <w:sz w:val="18"/>
                <w:szCs w:val="18"/>
              </w:rPr>
              <w:t>Anaphylaxis</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2913BDC"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8B21827" w14:textId="77777777" w:rsidR="000F7395" w:rsidRPr="008D0D68" w:rsidRDefault="000F7395" w:rsidP="00A53D06">
            <w:pPr>
              <w:rPr>
                <w:sz w:val="18"/>
                <w:szCs w:val="18"/>
              </w:rPr>
            </w:pPr>
            <w:r w:rsidRPr="008D0D68">
              <w:rPr>
                <w:sz w:val="18"/>
                <w:szCs w:val="18"/>
              </w:rPr>
              <w:t>n/a</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355509D"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B02433D"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0DA81D0" w14:textId="77777777" w:rsidR="000F7395" w:rsidRPr="008D0D68" w:rsidRDefault="000F7395" w:rsidP="00A53D06">
            <w:pPr>
              <w:rPr>
                <w:sz w:val="18"/>
                <w:szCs w:val="18"/>
              </w:rPr>
            </w:pPr>
            <w:r w:rsidRPr="008D0D68">
              <w:rPr>
                <w:sz w:val="18"/>
                <w:szCs w:val="18"/>
              </w:rPr>
              <w:t>b</w:t>
            </w:r>
          </w:p>
        </w:tc>
      </w:tr>
      <w:tr w:rsidR="000F7395" w:rsidRPr="008D0D68" w14:paraId="08E71890"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8F01CC9" w14:textId="77777777" w:rsidR="000F7395" w:rsidRPr="008D0D68" w:rsidRDefault="000F7395" w:rsidP="00A53D06">
            <w:pPr>
              <w:rPr>
                <w:sz w:val="18"/>
                <w:szCs w:val="18"/>
              </w:rPr>
            </w:pPr>
            <w:r w:rsidRPr="008D0D68">
              <w:rPr>
                <w:sz w:val="18"/>
                <w:szCs w:val="18"/>
              </w:rPr>
              <w:t>Recognising and Managing Anaphylaxis</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E8D3A71" w14:textId="77777777" w:rsidR="000F7395" w:rsidRPr="008D0D68" w:rsidRDefault="000F7395" w:rsidP="00A53D06">
            <w:pPr>
              <w:rPr>
                <w:sz w:val="18"/>
                <w:szCs w:val="18"/>
              </w:rPr>
            </w:pPr>
            <w:r w:rsidRPr="008D0D68">
              <w:rPr>
                <w:sz w:val="18"/>
                <w:szCs w:val="18"/>
              </w:rPr>
              <w:t>Once only</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B07B859"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2380A1E" w14:textId="77777777" w:rsidR="000F7395" w:rsidRPr="008D0D68" w:rsidRDefault="000F7395" w:rsidP="00A53D06">
            <w:pPr>
              <w:rPr>
                <w:sz w:val="18"/>
                <w:szCs w:val="18"/>
              </w:rPr>
            </w:pPr>
            <w:r w:rsidRPr="008D0D68">
              <w:rPr>
                <w:sz w:val="18"/>
                <w:szCs w:val="18"/>
              </w:rPr>
              <w:t>Anaphylaxis</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AE90E4B"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9D63493" w14:textId="77777777" w:rsidR="000F7395" w:rsidRPr="008D0D68" w:rsidRDefault="000F7395" w:rsidP="00A53D06">
            <w:pPr>
              <w:rPr>
                <w:sz w:val="18"/>
                <w:szCs w:val="18"/>
              </w:rPr>
            </w:pPr>
            <w:r w:rsidRPr="008D0D68">
              <w:rPr>
                <w:sz w:val="18"/>
                <w:szCs w:val="18"/>
              </w:rPr>
              <w:t>n/a</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9ABE9BB"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3328E37"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586A14F" w14:textId="77777777" w:rsidR="000F7395" w:rsidRPr="008D0D68" w:rsidRDefault="000F7395" w:rsidP="00A53D06">
            <w:pPr>
              <w:rPr>
                <w:sz w:val="18"/>
                <w:szCs w:val="18"/>
              </w:rPr>
            </w:pPr>
            <w:r w:rsidRPr="008D0D68">
              <w:rPr>
                <w:sz w:val="18"/>
                <w:szCs w:val="18"/>
              </w:rPr>
              <w:t>b</w:t>
            </w:r>
          </w:p>
        </w:tc>
      </w:tr>
      <w:tr w:rsidR="000F7395" w:rsidRPr="008D0D68" w14:paraId="43759CDE"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4A5FD05" w14:textId="77777777" w:rsidR="000F7395" w:rsidRPr="008D0D68" w:rsidRDefault="000F7395" w:rsidP="00A53D06">
            <w:pPr>
              <w:rPr>
                <w:sz w:val="18"/>
                <w:szCs w:val="18"/>
              </w:rPr>
            </w:pPr>
            <w:r w:rsidRPr="008D0D68">
              <w:rPr>
                <w:sz w:val="18"/>
                <w:szCs w:val="18"/>
              </w:rPr>
              <w:t>Resuscitation Paediatric - Level 2</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EE85ED8" w14:textId="77777777" w:rsidR="000F7395" w:rsidRPr="008D0D68" w:rsidRDefault="000F7395" w:rsidP="00A53D06">
            <w:pPr>
              <w:rPr>
                <w:sz w:val="18"/>
                <w:szCs w:val="18"/>
              </w:rPr>
            </w:pPr>
            <w:r w:rsidRPr="008D0D68">
              <w:rPr>
                <w:sz w:val="18"/>
                <w:szCs w:val="18"/>
              </w:rPr>
              <w:t>Every 2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38B3686" w14:textId="77777777" w:rsidR="000F7395" w:rsidRPr="008D0D68" w:rsidRDefault="000F7395" w:rsidP="00A53D06">
            <w:pPr>
              <w:rPr>
                <w:sz w:val="18"/>
                <w:szCs w:val="18"/>
              </w:rPr>
            </w:pPr>
            <w:r w:rsidRPr="008D0D68">
              <w:rPr>
                <w:sz w:val="18"/>
                <w:szCs w:val="18"/>
              </w:rPr>
              <w:t>All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EB7730C"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EC547F6"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1666F79" w14:textId="77777777" w:rsidR="000F7395" w:rsidRPr="008D0D68" w:rsidRDefault="000F7395" w:rsidP="00A53D06">
            <w:pPr>
              <w:rPr>
                <w:sz w:val="18"/>
                <w:szCs w:val="18"/>
              </w:rPr>
            </w:pPr>
            <w:r w:rsidRPr="008D0D68">
              <w:rPr>
                <w:sz w:val="18"/>
                <w:szCs w:val="18"/>
              </w:rPr>
              <w:t>n/a</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1CF5D42"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B3980D1"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80FDBF1" w14:textId="77777777" w:rsidR="000F7395" w:rsidRPr="008D0D68" w:rsidRDefault="000F7395" w:rsidP="00A53D06">
            <w:pPr>
              <w:rPr>
                <w:sz w:val="18"/>
                <w:szCs w:val="18"/>
              </w:rPr>
            </w:pPr>
            <w:r w:rsidRPr="008D0D68">
              <w:rPr>
                <w:sz w:val="18"/>
                <w:szCs w:val="18"/>
              </w:rPr>
              <w:t>b</w:t>
            </w:r>
          </w:p>
        </w:tc>
      </w:tr>
      <w:tr w:rsidR="000F7395" w:rsidRPr="008D0D68" w14:paraId="4DF4A3B2"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20FD535" w14:textId="77777777" w:rsidR="000F7395" w:rsidRPr="008D0D68" w:rsidRDefault="000F7395" w:rsidP="00A53D06">
            <w:pPr>
              <w:rPr>
                <w:sz w:val="18"/>
                <w:szCs w:val="18"/>
              </w:rPr>
            </w:pPr>
            <w:r w:rsidRPr="008D0D68">
              <w:rPr>
                <w:sz w:val="18"/>
                <w:szCs w:val="18"/>
              </w:rPr>
              <w:t>Dementia awareness</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472FC98"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A50F862" w14:textId="77777777" w:rsidR="000F7395" w:rsidRPr="008D0D68" w:rsidRDefault="000F7395" w:rsidP="00A53D06">
            <w:pPr>
              <w:rPr>
                <w:sz w:val="18"/>
                <w:szCs w:val="18"/>
              </w:rPr>
            </w:pPr>
            <w:r w:rsidRPr="008D0D68">
              <w:rPr>
                <w:sz w:val="18"/>
                <w:szCs w:val="18"/>
              </w:rPr>
              <w:t>Taunton/Yeovil, South Bristol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F55A50A" w14:textId="77777777" w:rsidR="000F7395" w:rsidRPr="008D0D68" w:rsidRDefault="000F7395" w:rsidP="00A53D06">
            <w:pPr>
              <w:rPr>
                <w:sz w:val="18"/>
                <w:szCs w:val="18"/>
              </w:rPr>
            </w:pPr>
            <w:r w:rsidRPr="008D0D68">
              <w:rPr>
                <w:sz w:val="18"/>
                <w:szCs w:val="18"/>
              </w:rPr>
              <w:t>Introduction to living with dementia module of the Dementia (DEM)</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3A93784"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DC39658"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36BB48A"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5F9F4A9"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12BF221" w14:textId="77777777" w:rsidR="000F7395" w:rsidRPr="008D0D68" w:rsidRDefault="000F7395" w:rsidP="00A53D06">
            <w:pPr>
              <w:rPr>
                <w:sz w:val="18"/>
                <w:szCs w:val="18"/>
              </w:rPr>
            </w:pPr>
            <w:r w:rsidRPr="008D0D68">
              <w:rPr>
                <w:sz w:val="18"/>
                <w:szCs w:val="18"/>
              </w:rPr>
              <w:t>b</w:t>
            </w:r>
          </w:p>
        </w:tc>
      </w:tr>
      <w:tr w:rsidR="000F7395" w:rsidRPr="008D0D68" w14:paraId="11EFF74E"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D38B6FC" w14:textId="77777777" w:rsidR="000F7395" w:rsidRPr="008D0D68" w:rsidRDefault="000F7395" w:rsidP="00A53D06">
            <w:pPr>
              <w:rPr>
                <w:sz w:val="18"/>
                <w:szCs w:val="18"/>
              </w:rPr>
            </w:pPr>
            <w:r w:rsidRPr="008D0D68">
              <w:rPr>
                <w:sz w:val="18"/>
                <w:szCs w:val="18"/>
              </w:rPr>
              <w:t>Preventing Radicalisation - Basic Prevent Awareness</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3D0BAC9"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99A97AC" w14:textId="77777777" w:rsidR="000F7395" w:rsidRPr="008D0D68" w:rsidRDefault="000F7395" w:rsidP="00A53D06">
            <w:pPr>
              <w:rPr>
                <w:sz w:val="18"/>
                <w:szCs w:val="18"/>
              </w:rPr>
            </w:pPr>
            <w:r w:rsidRPr="008D0D68">
              <w:rPr>
                <w:sz w:val="18"/>
                <w:szCs w:val="18"/>
              </w:rPr>
              <w:t>Taunton/Yeovil, South Bristol, Swindon</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AB9757A"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7DCBAEA"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9FB6492"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C4E0C68"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93EC3AD"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7E5B225" w14:textId="77777777" w:rsidR="000F7395" w:rsidRPr="008D0D68" w:rsidRDefault="000F7395" w:rsidP="00A53D06">
            <w:pPr>
              <w:rPr>
                <w:sz w:val="18"/>
                <w:szCs w:val="18"/>
              </w:rPr>
            </w:pPr>
            <w:r w:rsidRPr="008D0D68">
              <w:rPr>
                <w:sz w:val="18"/>
                <w:szCs w:val="18"/>
              </w:rPr>
              <w:t>b</w:t>
            </w:r>
          </w:p>
        </w:tc>
      </w:tr>
      <w:tr w:rsidR="000F7395" w:rsidRPr="008D0D68" w14:paraId="12BE5F80"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DEF3836" w14:textId="77777777" w:rsidR="000F7395" w:rsidRPr="008D0D68" w:rsidRDefault="000F7395" w:rsidP="00A53D06">
            <w:pPr>
              <w:rPr>
                <w:sz w:val="18"/>
                <w:szCs w:val="18"/>
              </w:rPr>
            </w:pPr>
            <w:r w:rsidRPr="008D0D68">
              <w:rPr>
                <w:sz w:val="18"/>
                <w:szCs w:val="18"/>
              </w:rPr>
              <w:t>Preventing Radicalisation - Awareness of Prevent (Level 3)</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D4C5765"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4C18720" w14:textId="77777777" w:rsidR="000F7395" w:rsidRPr="008D0D68" w:rsidRDefault="000F7395" w:rsidP="00A53D06">
            <w:pPr>
              <w:rPr>
                <w:sz w:val="18"/>
                <w:szCs w:val="18"/>
              </w:rPr>
            </w:pPr>
            <w:r w:rsidRPr="008D0D68">
              <w:rPr>
                <w:sz w:val="18"/>
                <w:szCs w:val="18"/>
              </w:rPr>
              <w:t>Taunton/Yeovil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F698A66"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EEF5899"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F26D4D9"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FC07EFF"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6D4C158"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B0A3C76" w14:textId="77777777" w:rsidR="000F7395" w:rsidRPr="008D0D68" w:rsidRDefault="000F7395" w:rsidP="00A53D06">
            <w:pPr>
              <w:rPr>
                <w:sz w:val="18"/>
                <w:szCs w:val="18"/>
              </w:rPr>
            </w:pPr>
            <w:r w:rsidRPr="008D0D68">
              <w:rPr>
                <w:sz w:val="18"/>
                <w:szCs w:val="18"/>
              </w:rPr>
              <w:t>b</w:t>
            </w:r>
          </w:p>
        </w:tc>
      </w:tr>
      <w:tr w:rsidR="000F7395" w:rsidRPr="008D0D68" w14:paraId="7275E8F5"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C6262CE" w14:textId="77777777" w:rsidR="000F7395" w:rsidRPr="008D0D68" w:rsidRDefault="000F7395" w:rsidP="00A53D06">
            <w:pPr>
              <w:rPr>
                <w:sz w:val="18"/>
                <w:szCs w:val="18"/>
              </w:rPr>
            </w:pPr>
            <w:r w:rsidRPr="008D0D68">
              <w:rPr>
                <w:sz w:val="18"/>
                <w:szCs w:val="18"/>
              </w:rPr>
              <w:t>NHS conflict resolution - level 1</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575403E"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E2E6856" w14:textId="77777777" w:rsidR="000F7395" w:rsidRPr="008D0D68" w:rsidRDefault="000F7395" w:rsidP="00A53D06">
            <w:pPr>
              <w:rPr>
                <w:sz w:val="18"/>
                <w:szCs w:val="18"/>
              </w:rPr>
            </w:pPr>
            <w:r w:rsidRPr="008D0D68">
              <w:rPr>
                <w:sz w:val="18"/>
                <w:szCs w:val="18"/>
              </w:rPr>
              <w:t>Taunton/Yeovil, Swindon, Bath</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5656E9B"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F50EF19"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EF1742A"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002402F"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1650524"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B832D83" w14:textId="77777777" w:rsidR="000F7395" w:rsidRPr="008D0D68" w:rsidRDefault="000F7395" w:rsidP="00A53D06">
            <w:pPr>
              <w:rPr>
                <w:sz w:val="18"/>
                <w:szCs w:val="18"/>
              </w:rPr>
            </w:pPr>
            <w:r w:rsidRPr="008D0D68">
              <w:rPr>
                <w:sz w:val="18"/>
                <w:szCs w:val="18"/>
              </w:rPr>
              <w:t>b</w:t>
            </w:r>
          </w:p>
        </w:tc>
      </w:tr>
      <w:tr w:rsidR="000F7395" w:rsidRPr="008D0D68" w14:paraId="1C19CBEA"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076EE46" w14:textId="77777777" w:rsidR="000F7395" w:rsidRPr="008D0D68" w:rsidRDefault="000F7395" w:rsidP="00A53D06">
            <w:pPr>
              <w:rPr>
                <w:sz w:val="18"/>
                <w:szCs w:val="18"/>
              </w:rPr>
            </w:pPr>
            <w:r w:rsidRPr="008D0D68">
              <w:rPr>
                <w:sz w:val="18"/>
                <w:szCs w:val="18"/>
              </w:rPr>
              <w:lastRenderedPageBreak/>
              <w:t>Safeguarding Adults - Level 2</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D9FC33A" w14:textId="77777777" w:rsidR="000F7395" w:rsidRPr="008D0D68" w:rsidRDefault="000F7395" w:rsidP="00A53D06">
            <w:pPr>
              <w:rPr>
                <w:sz w:val="18"/>
                <w:szCs w:val="18"/>
              </w:rPr>
            </w:pPr>
            <w:r w:rsidRPr="008D0D68">
              <w:rPr>
                <w:sz w:val="18"/>
                <w:szCs w:val="18"/>
              </w:rPr>
              <w:t>Every 2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5117311" w14:textId="77777777" w:rsidR="000F7395" w:rsidRPr="008D0D68" w:rsidRDefault="000F7395" w:rsidP="00A53D06">
            <w:pPr>
              <w:rPr>
                <w:sz w:val="18"/>
                <w:szCs w:val="18"/>
              </w:rPr>
            </w:pPr>
            <w:r w:rsidRPr="008D0D68">
              <w:rPr>
                <w:sz w:val="18"/>
                <w:szCs w:val="18"/>
              </w:rPr>
              <w:t>Swindon</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9783BB4" w14:textId="77777777" w:rsidR="000F7395" w:rsidRPr="008D0D68" w:rsidRDefault="000F7395" w:rsidP="00A53D06">
            <w:pPr>
              <w:rPr>
                <w:sz w:val="18"/>
                <w:szCs w:val="18"/>
              </w:rPr>
            </w:pPr>
            <w:r w:rsidRPr="008D0D68">
              <w:rPr>
                <w:sz w:val="18"/>
                <w:szCs w:val="18"/>
              </w:rPr>
              <w:t>Statutory and Mandatory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4972AC7"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650EB96"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96AA46D"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B328F49"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DAFCB5F" w14:textId="77777777" w:rsidR="000F7395" w:rsidRPr="008D0D68" w:rsidRDefault="000F7395" w:rsidP="00A53D06">
            <w:pPr>
              <w:rPr>
                <w:sz w:val="18"/>
                <w:szCs w:val="18"/>
              </w:rPr>
            </w:pPr>
            <w:r w:rsidRPr="008D0D68">
              <w:rPr>
                <w:sz w:val="18"/>
                <w:szCs w:val="18"/>
              </w:rPr>
              <w:t>b</w:t>
            </w:r>
          </w:p>
        </w:tc>
      </w:tr>
      <w:tr w:rsidR="000F7395" w:rsidRPr="008D0D68" w14:paraId="1A6D89A1"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4B07FAA" w14:textId="77777777" w:rsidR="000F7395" w:rsidRPr="008D0D68" w:rsidRDefault="000F7395" w:rsidP="00A53D06">
            <w:pPr>
              <w:rPr>
                <w:sz w:val="18"/>
                <w:szCs w:val="18"/>
              </w:rPr>
            </w:pPr>
            <w:r w:rsidRPr="008D0D68">
              <w:rPr>
                <w:sz w:val="18"/>
                <w:szCs w:val="18"/>
              </w:rPr>
              <w:t>Recommended Summary Plan for Emergency Care and Treatment (</w:t>
            </w:r>
            <w:proofErr w:type="spellStart"/>
            <w:r w:rsidRPr="008D0D68">
              <w:rPr>
                <w:sz w:val="18"/>
                <w:szCs w:val="18"/>
              </w:rPr>
              <w:t>ReSPECT</w:t>
            </w:r>
            <w:proofErr w:type="spellEnd"/>
            <w:r w:rsidRPr="008D0D68">
              <w:rPr>
                <w:sz w:val="18"/>
                <w:szCs w:val="18"/>
              </w:rPr>
              <w:t>)</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21E6451" w14:textId="77777777" w:rsidR="000F7395" w:rsidRPr="008D0D68" w:rsidRDefault="000F7395" w:rsidP="00A53D06">
            <w:pPr>
              <w:rPr>
                <w:sz w:val="18"/>
                <w:szCs w:val="18"/>
              </w:rPr>
            </w:pPr>
            <w:r w:rsidRPr="008D0D68">
              <w:rPr>
                <w:sz w:val="18"/>
                <w:szCs w:val="18"/>
              </w:rPr>
              <w:t>Every 3 years</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2FB3CD0" w14:textId="77777777" w:rsidR="000F7395" w:rsidRPr="008D0D68" w:rsidRDefault="000F7395" w:rsidP="00A53D06">
            <w:pPr>
              <w:rPr>
                <w:sz w:val="18"/>
                <w:szCs w:val="18"/>
              </w:rPr>
            </w:pPr>
            <w:r w:rsidRPr="008D0D68">
              <w:rPr>
                <w:sz w:val="18"/>
                <w:szCs w:val="18"/>
              </w:rPr>
              <w:t>Bath</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B58B2AD" w14:textId="77777777" w:rsidR="000F7395" w:rsidRPr="008D0D68" w:rsidRDefault="000F7395" w:rsidP="00A53D06">
            <w:pPr>
              <w:rPr>
                <w:sz w:val="18"/>
                <w:szCs w:val="18"/>
              </w:rPr>
            </w:pPr>
            <w:r w:rsidRPr="008D0D68">
              <w:rPr>
                <w:sz w:val="18"/>
                <w:szCs w:val="18"/>
              </w:rPr>
              <w:t>Recommended Summary Plan for Emergency Care and Treatment (</w:t>
            </w:r>
            <w:proofErr w:type="spellStart"/>
            <w:r w:rsidRPr="008D0D68">
              <w:rPr>
                <w:sz w:val="18"/>
                <w:szCs w:val="18"/>
              </w:rPr>
              <w:t>ReSPECT</w:t>
            </w:r>
            <w:proofErr w:type="spellEnd"/>
            <w:r w:rsidRPr="008D0D68">
              <w:rPr>
                <w:sz w:val="18"/>
                <w:szCs w:val="18"/>
              </w:rPr>
              <w:t>)</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4CBA31E"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33D81A6"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9A3AFA5"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7962DD3"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768CC2C" w14:textId="77777777" w:rsidR="000F7395" w:rsidRPr="008D0D68" w:rsidRDefault="000F7395" w:rsidP="00A53D06">
            <w:pPr>
              <w:rPr>
                <w:sz w:val="18"/>
                <w:szCs w:val="18"/>
              </w:rPr>
            </w:pPr>
            <w:r w:rsidRPr="008D0D68">
              <w:rPr>
                <w:sz w:val="18"/>
                <w:szCs w:val="18"/>
              </w:rPr>
              <w:t>b</w:t>
            </w:r>
          </w:p>
        </w:tc>
      </w:tr>
      <w:tr w:rsidR="000F7395" w:rsidRPr="008D0D68" w14:paraId="696EAB6A"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745B090" w14:textId="77777777" w:rsidR="000F7395" w:rsidRPr="008D0D68" w:rsidRDefault="000F7395" w:rsidP="00A53D06">
            <w:pPr>
              <w:rPr>
                <w:sz w:val="18"/>
                <w:szCs w:val="18"/>
              </w:rPr>
            </w:pPr>
            <w:r w:rsidRPr="008D0D68">
              <w:rPr>
                <w:sz w:val="18"/>
                <w:szCs w:val="18"/>
              </w:rPr>
              <w:t>Speak Up - Core Training for all Workers</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79384AA" w14:textId="77777777" w:rsidR="000F7395" w:rsidRPr="008D0D68" w:rsidRDefault="000F7395" w:rsidP="00A53D06">
            <w:pPr>
              <w:rPr>
                <w:sz w:val="18"/>
                <w:szCs w:val="18"/>
              </w:rPr>
            </w:pPr>
            <w:r w:rsidRPr="008D0D68">
              <w:rPr>
                <w:sz w:val="18"/>
                <w:szCs w:val="18"/>
              </w:rPr>
              <w:t>Once only</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1554D72" w14:textId="77777777" w:rsidR="000F7395" w:rsidRPr="008D0D68" w:rsidRDefault="000F7395" w:rsidP="00A53D06">
            <w:pPr>
              <w:rPr>
                <w:sz w:val="18"/>
                <w:szCs w:val="18"/>
              </w:rPr>
            </w:pPr>
            <w:r w:rsidRPr="008D0D68">
              <w:rPr>
                <w:sz w:val="18"/>
                <w:szCs w:val="18"/>
              </w:rPr>
              <w:t>Bath</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088C02B" w14:textId="77777777" w:rsidR="000F7395" w:rsidRPr="008D0D68" w:rsidRDefault="000F7395" w:rsidP="00A53D06">
            <w:pPr>
              <w:rPr>
                <w:sz w:val="18"/>
                <w:szCs w:val="18"/>
              </w:rPr>
            </w:pPr>
            <w:r w:rsidRPr="008D0D68">
              <w:rPr>
                <w:sz w:val="18"/>
                <w:szCs w:val="18"/>
              </w:rPr>
              <w:t>Freedom to Speak up in Healthcare in England training</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940FC79" w14:textId="77777777" w:rsidR="000F7395" w:rsidRPr="008D0D68" w:rsidRDefault="000F7395" w:rsidP="00A53D06">
            <w:pPr>
              <w:rPr>
                <w:sz w:val="18"/>
                <w:szCs w:val="18"/>
              </w:rPr>
            </w:pPr>
            <w:r w:rsidRPr="008D0D68">
              <w:rPr>
                <w:sz w:val="18"/>
                <w:szCs w:val="18"/>
              </w:rPr>
              <w:t>n/a</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D22A4DF" w14:textId="77777777" w:rsidR="000F7395" w:rsidRPr="008D0D68" w:rsidRDefault="000F7395" w:rsidP="00A53D06">
            <w:pPr>
              <w:rPr>
                <w:sz w:val="18"/>
                <w:szCs w:val="18"/>
              </w:rPr>
            </w:pPr>
            <w:r w:rsidRPr="008D0D68">
              <w:rPr>
                <w:sz w:val="18"/>
                <w:szCs w:val="18"/>
              </w:rPr>
              <w:t>b</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51BBC9B"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341F45A0" w14:textId="77777777" w:rsidR="000F7395" w:rsidRPr="008D0D68" w:rsidRDefault="000F7395" w:rsidP="00A53D06">
            <w:pPr>
              <w:rPr>
                <w:sz w:val="18"/>
                <w:szCs w:val="18"/>
              </w:rPr>
            </w:pPr>
            <w:r w:rsidRPr="008D0D68">
              <w:rPr>
                <w:sz w:val="18"/>
                <w:szCs w:val="18"/>
              </w:rPr>
              <w:t>b</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EBED142" w14:textId="77777777" w:rsidR="000F7395" w:rsidRPr="008D0D68" w:rsidRDefault="000F7395" w:rsidP="00A53D06">
            <w:pPr>
              <w:rPr>
                <w:sz w:val="18"/>
                <w:szCs w:val="18"/>
              </w:rPr>
            </w:pPr>
            <w:r w:rsidRPr="008D0D68">
              <w:rPr>
                <w:sz w:val="18"/>
                <w:szCs w:val="18"/>
              </w:rPr>
              <w:t>b</w:t>
            </w:r>
          </w:p>
        </w:tc>
      </w:tr>
      <w:tr w:rsidR="000F7395" w:rsidRPr="008D0D68" w14:paraId="33DE859C" w14:textId="77777777" w:rsidTr="00A53D06">
        <w:tc>
          <w:tcPr>
            <w:tcW w:w="2258"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55B2E490" w14:textId="77777777" w:rsidR="000F7395" w:rsidRPr="008D0D68" w:rsidRDefault="000F7395" w:rsidP="00A53D06">
            <w:pPr>
              <w:rPr>
                <w:sz w:val="18"/>
                <w:szCs w:val="18"/>
              </w:rPr>
            </w:pPr>
            <w:r w:rsidRPr="008D0D68">
              <w:rPr>
                <w:sz w:val="18"/>
                <w:szCs w:val="18"/>
              </w:rPr>
              <w:t>The Oliver McGowan Mandatory Training on Learning Disability and Autism</w:t>
            </w:r>
          </w:p>
        </w:tc>
        <w:tc>
          <w:tcPr>
            <w:tcW w:w="141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AF74719" w14:textId="77777777" w:rsidR="000F7395" w:rsidRPr="008D0D68" w:rsidRDefault="000F7395" w:rsidP="00A53D06">
            <w:pPr>
              <w:rPr>
                <w:sz w:val="18"/>
                <w:szCs w:val="18"/>
              </w:rPr>
            </w:pPr>
            <w:r w:rsidRPr="008D0D68">
              <w:rPr>
                <w:sz w:val="18"/>
                <w:szCs w:val="18"/>
              </w:rPr>
              <w:t>tbc</w:t>
            </w:r>
          </w:p>
        </w:tc>
        <w:tc>
          <w:tcPr>
            <w:tcW w:w="1301"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B6F5B4F" w14:textId="77777777" w:rsidR="000F7395" w:rsidRPr="008D0D68" w:rsidRDefault="000F7395" w:rsidP="00A53D06">
            <w:pPr>
              <w:rPr>
                <w:sz w:val="18"/>
                <w:szCs w:val="18"/>
              </w:rPr>
            </w:pPr>
            <w:r w:rsidRPr="008D0D68">
              <w:rPr>
                <w:sz w:val="18"/>
                <w:szCs w:val="18"/>
              </w:rPr>
              <w:t>Taunton/Yeovil</w:t>
            </w:r>
          </w:p>
        </w:tc>
        <w:tc>
          <w:tcPr>
            <w:tcW w:w="2246"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4A0E9547" w14:textId="77777777" w:rsidR="000F7395" w:rsidRPr="008D0D68" w:rsidRDefault="000F7395" w:rsidP="00A53D06">
            <w:pPr>
              <w:rPr>
                <w:sz w:val="18"/>
                <w:szCs w:val="18"/>
              </w:rPr>
            </w:pPr>
            <w:r w:rsidRPr="008D0D68">
              <w:rPr>
                <w:sz w:val="18"/>
                <w:szCs w:val="18"/>
              </w:rPr>
              <w:t>Oliver McGowan Mandatory Training on Learning Disability and Autism</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2C81ABBF" w14:textId="77777777" w:rsidR="000F7395" w:rsidRPr="008D0D68" w:rsidRDefault="000F7395" w:rsidP="00A53D06">
            <w:pPr>
              <w:rPr>
                <w:sz w:val="18"/>
                <w:szCs w:val="18"/>
              </w:rPr>
            </w:pPr>
            <w:r w:rsidRPr="008D0D68">
              <w:rPr>
                <w:sz w:val="18"/>
                <w:szCs w:val="18"/>
              </w:rPr>
              <w:t>tbc</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05A687E5" w14:textId="77777777" w:rsidR="000F7395" w:rsidRPr="008D0D68" w:rsidRDefault="000F7395" w:rsidP="00A53D06">
            <w:pPr>
              <w:rPr>
                <w:sz w:val="18"/>
                <w:szCs w:val="18"/>
              </w:rPr>
            </w:pPr>
            <w:r w:rsidRPr="008D0D68">
              <w:rPr>
                <w:sz w:val="18"/>
                <w:szCs w:val="18"/>
              </w:rPr>
              <w:t>tbc</w:t>
            </w:r>
          </w:p>
        </w:tc>
        <w:tc>
          <w:tcPr>
            <w:tcW w:w="567"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60B816EF" w14:textId="77777777" w:rsidR="000F7395" w:rsidRPr="008D0D68" w:rsidRDefault="000F7395" w:rsidP="00A53D06">
            <w:pPr>
              <w:rPr>
                <w:sz w:val="18"/>
                <w:szCs w:val="18"/>
              </w:rPr>
            </w:pPr>
            <w:r w:rsidRPr="008D0D68">
              <w:rPr>
                <w:sz w:val="18"/>
                <w:szCs w:val="18"/>
              </w:rPr>
              <w:t>tbc</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1154B840" w14:textId="77777777" w:rsidR="000F7395" w:rsidRPr="008D0D68" w:rsidRDefault="000F7395" w:rsidP="00A53D06">
            <w:pPr>
              <w:rPr>
                <w:sz w:val="18"/>
                <w:szCs w:val="18"/>
              </w:rPr>
            </w:pPr>
            <w:r w:rsidRPr="008D0D68">
              <w:rPr>
                <w:sz w:val="18"/>
                <w:szCs w:val="18"/>
              </w:rPr>
              <w:t>tbc</w:t>
            </w:r>
          </w:p>
        </w:tc>
        <w:tc>
          <w:tcPr>
            <w:tcW w:w="425" w:type="dxa"/>
            <w:tcBorders>
              <w:top w:val="outset" w:sz="6" w:space="0" w:color="auto"/>
              <w:left w:val="outset" w:sz="6" w:space="0" w:color="auto"/>
              <w:bottom w:val="outset" w:sz="6" w:space="0" w:color="auto"/>
              <w:right w:val="outset" w:sz="6" w:space="0" w:color="auto"/>
            </w:tcBorders>
            <w:shd w:val="clear" w:color="auto" w:fill="F4F4F4"/>
            <w:vAlign w:val="center"/>
            <w:hideMark/>
          </w:tcPr>
          <w:p w14:paraId="7A2D3887" w14:textId="77777777" w:rsidR="000F7395" w:rsidRPr="008D0D68" w:rsidRDefault="000F7395" w:rsidP="00A53D06">
            <w:pPr>
              <w:rPr>
                <w:sz w:val="18"/>
                <w:szCs w:val="18"/>
              </w:rPr>
            </w:pPr>
            <w:r w:rsidRPr="008D0D68">
              <w:rPr>
                <w:sz w:val="18"/>
                <w:szCs w:val="18"/>
              </w:rPr>
              <w:t>tbc</w:t>
            </w:r>
          </w:p>
        </w:tc>
      </w:tr>
    </w:tbl>
    <w:p w14:paraId="56EC716D" w14:textId="77777777" w:rsidR="000F5E23" w:rsidRPr="001B5DD2" w:rsidRDefault="000F5E23" w:rsidP="001B5DD2"/>
    <w:p w14:paraId="501E5B2C" w14:textId="77777777" w:rsidR="001B5DD2" w:rsidRPr="001B5DD2" w:rsidRDefault="001B5DD2" w:rsidP="00C76BBD"/>
    <w:p w14:paraId="481ED890" w14:textId="2CFFAE34" w:rsidR="006907F8" w:rsidRDefault="006907F8">
      <w:pPr>
        <w:spacing w:after="183"/>
        <w:ind w:left="360"/>
      </w:pPr>
    </w:p>
    <w:p w14:paraId="1A360880" w14:textId="707FCF3C" w:rsidR="006907F8" w:rsidRDefault="006907F8">
      <w:pPr>
        <w:spacing w:after="0"/>
      </w:pPr>
    </w:p>
    <w:sectPr w:rsidR="006907F8">
      <w:pgSz w:w="11906" w:h="16838"/>
      <w:pgMar w:top="1511" w:right="1445" w:bottom="1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D4A0A"/>
    <w:multiLevelType w:val="hybridMultilevel"/>
    <w:tmpl w:val="405C9086"/>
    <w:lvl w:ilvl="0" w:tplc="F4A04EC2">
      <w:start w:val="1"/>
      <w:numFmt w:val="decimal"/>
      <w:lvlText w:val="%1."/>
      <w:lvlJc w:val="left"/>
      <w:pPr>
        <w:ind w:left="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F796B662">
      <w:start w:val="1"/>
      <w:numFmt w:val="lowerLetter"/>
      <w:lvlText w:val="%2"/>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37CCE5E">
      <w:start w:val="1"/>
      <w:numFmt w:val="lowerRoman"/>
      <w:lvlText w:val="%3"/>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85E64C10">
      <w:start w:val="1"/>
      <w:numFmt w:val="decimal"/>
      <w:lvlText w:val="%4"/>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888E59B0">
      <w:start w:val="1"/>
      <w:numFmt w:val="lowerLetter"/>
      <w:lvlText w:val="%5"/>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4D366950">
      <w:start w:val="1"/>
      <w:numFmt w:val="lowerRoman"/>
      <w:lvlText w:val="%6"/>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8FF8A1D6">
      <w:start w:val="1"/>
      <w:numFmt w:val="decimal"/>
      <w:lvlText w:val="%7"/>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3C74BEA2">
      <w:start w:val="1"/>
      <w:numFmt w:val="lowerLetter"/>
      <w:lvlText w:val="%8"/>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C37AB6E2">
      <w:start w:val="1"/>
      <w:numFmt w:val="lowerRoman"/>
      <w:lvlText w:val="%9"/>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837ED1"/>
    <w:multiLevelType w:val="multilevel"/>
    <w:tmpl w:val="B80C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D0424"/>
    <w:multiLevelType w:val="multilevel"/>
    <w:tmpl w:val="05B8AD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8B25354"/>
    <w:multiLevelType w:val="multilevel"/>
    <w:tmpl w:val="1AFA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E44E41"/>
    <w:multiLevelType w:val="multilevel"/>
    <w:tmpl w:val="A168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CB2F53"/>
    <w:multiLevelType w:val="multilevel"/>
    <w:tmpl w:val="74405D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FA433F4"/>
    <w:multiLevelType w:val="hybridMultilevel"/>
    <w:tmpl w:val="A25AF9C2"/>
    <w:lvl w:ilvl="0" w:tplc="39CCAC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25674">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8EC296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EC81C3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9000B8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56C745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74AE02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B444146">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8FA853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D74A9C"/>
    <w:multiLevelType w:val="multilevel"/>
    <w:tmpl w:val="EC80A2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DA446CA"/>
    <w:multiLevelType w:val="multilevel"/>
    <w:tmpl w:val="E12AA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639081D"/>
    <w:multiLevelType w:val="hybridMultilevel"/>
    <w:tmpl w:val="D76AA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A0F62"/>
    <w:multiLevelType w:val="multilevel"/>
    <w:tmpl w:val="869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C054F3"/>
    <w:multiLevelType w:val="multilevel"/>
    <w:tmpl w:val="4C58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4613F4"/>
    <w:multiLevelType w:val="multilevel"/>
    <w:tmpl w:val="4E407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9631490"/>
    <w:multiLevelType w:val="multilevel"/>
    <w:tmpl w:val="0EB8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C1660E"/>
    <w:multiLevelType w:val="hybridMultilevel"/>
    <w:tmpl w:val="DE20F58E"/>
    <w:lvl w:ilvl="0" w:tplc="D9F67412">
      <w:start w:val="12"/>
      <w:numFmt w:val="decimal"/>
      <w:lvlText w:val="%1."/>
      <w:lvlJc w:val="left"/>
      <w:pPr>
        <w:ind w:left="65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665AFCFE">
      <w:start w:val="1"/>
      <w:numFmt w:val="lowerLetter"/>
      <w:lvlText w:val="%2"/>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2AF0B84A">
      <w:start w:val="1"/>
      <w:numFmt w:val="lowerRoman"/>
      <w:lvlText w:val="%3"/>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8BA01712">
      <w:start w:val="1"/>
      <w:numFmt w:val="decimal"/>
      <w:lvlText w:val="%4"/>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6BF06E38">
      <w:start w:val="1"/>
      <w:numFmt w:val="lowerLetter"/>
      <w:lvlText w:val="%5"/>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D1BA52AE">
      <w:start w:val="1"/>
      <w:numFmt w:val="lowerRoman"/>
      <w:lvlText w:val="%6"/>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74D44590">
      <w:start w:val="1"/>
      <w:numFmt w:val="decimal"/>
      <w:lvlText w:val="%7"/>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01BAB606">
      <w:start w:val="1"/>
      <w:numFmt w:val="lowerLetter"/>
      <w:lvlText w:val="%8"/>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95B263B8">
      <w:start w:val="1"/>
      <w:numFmt w:val="lowerRoman"/>
      <w:lvlText w:val="%9"/>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16cid:durableId="1657102226">
    <w:abstractNumId w:val="0"/>
  </w:num>
  <w:num w:numId="2" w16cid:durableId="1981762397">
    <w:abstractNumId w:val="14"/>
  </w:num>
  <w:num w:numId="3" w16cid:durableId="2033266737">
    <w:abstractNumId w:val="6"/>
  </w:num>
  <w:num w:numId="4" w16cid:durableId="622274692">
    <w:abstractNumId w:val="4"/>
  </w:num>
  <w:num w:numId="5" w16cid:durableId="2023241528">
    <w:abstractNumId w:val="10"/>
  </w:num>
  <w:num w:numId="6" w16cid:durableId="405422393">
    <w:abstractNumId w:val="1"/>
  </w:num>
  <w:num w:numId="7" w16cid:durableId="1746145928">
    <w:abstractNumId w:val="3"/>
  </w:num>
  <w:num w:numId="8" w16cid:durableId="1617176866">
    <w:abstractNumId w:val="13"/>
  </w:num>
  <w:num w:numId="9" w16cid:durableId="347682571">
    <w:abstractNumId w:val="11"/>
  </w:num>
  <w:num w:numId="10" w16cid:durableId="580912366">
    <w:abstractNumId w:val="2"/>
  </w:num>
  <w:num w:numId="11" w16cid:durableId="986324081">
    <w:abstractNumId w:val="12"/>
  </w:num>
  <w:num w:numId="12" w16cid:durableId="801193108">
    <w:abstractNumId w:val="8"/>
  </w:num>
  <w:num w:numId="13" w16cid:durableId="895239463">
    <w:abstractNumId w:val="7"/>
  </w:num>
  <w:num w:numId="14" w16cid:durableId="182864678">
    <w:abstractNumId w:val="5"/>
  </w:num>
  <w:num w:numId="15" w16cid:durableId="1344210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F8"/>
    <w:rsid w:val="000958A3"/>
    <w:rsid w:val="000A00EC"/>
    <w:rsid w:val="000C399E"/>
    <w:rsid w:val="000F5E23"/>
    <w:rsid w:val="000F7395"/>
    <w:rsid w:val="00184A31"/>
    <w:rsid w:val="001B5DD2"/>
    <w:rsid w:val="002763FB"/>
    <w:rsid w:val="002807DE"/>
    <w:rsid w:val="00284D29"/>
    <w:rsid w:val="00286EE8"/>
    <w:rsid w:val="002B1601"/>
    <w:rsid w:val="002B5001"/>
    <w:rsid w:val="002C759B"/>
    <w:rsid w:val="002F5D2F"/>
    <w:rsid w:val="00333F91"/>
    <w:rsid w:val="003C1224"/>
    <w:rsid w:val="00434F03"/>
    <w:rsid w:val="004470AC"/>
    <w:rsid w:val="00481170"/>
    <w:rsid w:val="004957AD"/>
    <w:rsid w:val="004A6E0F"/>
    <w:rsid w:val="004F13EE"/>
    <w:rsid w:val="00510B5F"/>
    <w:rsid w:val="005331B6"/>
    <w:rsid w:val="00572796"/>
    <w:rsid w:val="005E1ABC"/>
    <w:rsid w:val="006012AF"/>
    <w:rsid w:val="0067737F"/>
    <w:rsid w:val="00681E2E"/>
    <w:rsid w:val="006907F8"/>
    <w:rsid w:val="006B3CFF"/>
    <w:rsid w:val="006F0FB8"/>
    <w:rsid w:val="007351FF"/>
    <w:rsid w:val="007B71E1"/>
    <w:rsid w:val="007D28C3"/>
    <w:rsid w:val="007D4CF9"/>
    <w:rsid w:val="00846F87"/>
    <w:rsid w:val="00882A0D"/>
    <w:rsid w:val="008D5EB2"/>
    <w:rsid w:val="009030E5"/>
    <w:rsid w:val="0095013C"/>
    <w:rsid w:val="00966E5B"/>
    <w:rsid w:val="00971DD2"/>
    <w:rsid w:val="009B4839"/>
    <w:rsid w:val="009F55C4"/>
    <w:rsid w:val="00A21933"/>
    <w:rsid w:val="00A836B3"/>
    <w:rsid w:val="00AA4019"/>
    <w:rsid w:val="00B336C2"/>
    <w:rsid w:val="00B40161"/>
    <w:rsid w:val="00C01B3E"/>
    <w:rsid w:val="00C0647F"/>
    <w:rsid w:val="00C35BE9"/>
    <w:rsid w:val="00C47EF7"/>
    <w:rsid w:val="00C741D2"/>
    <w:rsid w:val="00C76BBD"/>
    <w:rsid w:val="00CC49FC"/>
    <w:rsid w:val="00D02B70"/>
    <w:rsid w:val="00D56CFA"/>
    <w:rsid w:val="00D74F0C"/>
    <w:rsid w:val="00DD07C1"/>
    <w:rsid w:val="00E20CAC"/>
    <w:rsid w:val="00E96B68"/>
    <w:rsid w:val="00F26B9F"/>
    <w:rsid w:val="00F46289"/>
    <w:rsid w:val="00F63436"/>
    <w:rsid w:val="00F840D3"/>
    <w:rsid w:val="00F87A77"/>
    <w:rsid w:val="00FC0207"/>
    <w:rsid w:val="00FE478D"/>
    <w:rsid w:val="00FF23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9CCE"/>
  <w15:docId w15:val="{9E60B79F-545D-43F5-BB0B-9E27D2D7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FB8"/>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6" w:line="259" w:lineRule="auto"/>
      <w:ind w:left="10" w:hanging="10"/>
      <w:outlineLvl w:val="0"/>
    </w:pPr>
    <w:rPr>
      <w:rFonts w:ascii="Segoe UI" w:eastAsia="Segoe UI" w:hAnsi="Segoe UI" w:cs="Segoe UI"/>
      <w:color w:val="0F4761"/>
    </w:rPr>
  </w:style>
  <w:style w:type="paragraph" w:styleId="Heading2">
    <w:name w:val="heading 2"/>
    <w:basedOn w:val="Normal"/>
    <w:next w:val="Normal"/>
    <w:link w:val="Heading2Char"/>
    <w:uiPriority w:val="9"/>
    <w:unhideWhenUsed/>
    <w:qFormat/>
    <w:rsid w:val="00C76BBD"/>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0F4761"/>
      <w:sz w:val="24"/>
    </w:rPr>
  </w:style>
  <w:style w:type="paragraph" w:styleId="Revision">
    <w:name w:val="Revision"/>
    <w:hidden/>
    <w:uiPriority w:val="99"/>
    <w:semiHidden/>
    <w:rsid w:val="00681E2E"/>
    <w:pPr>
      <w:spacing w:after="0" w:line="240" w:lineRule="auto"/>
    </w:pPr>
    <w:rPr>
      <w:rFonts w:ascii="Calibri" w:eastAsia="Calibri" w:hAnsi="Calibri" w:cs="Calibri"/>
      <w:color w:val="000000"/>
      <w:sz w:val="22"/>
    </w:rPr>
  </w:style>
  <w:style w:type="character" w:styleId="Hyperlink">
    <w:name w:val="Hyperlink"/>
    <w:basedOn w:val="DefaultParagraphFont"/>
    <w:uiPriority w:val="99"/>
    <w:unhideWhenUsed/>
    <w:rsid w:val="00C47EF7"/>
    <w:rPr>
      <w:color w:val="467886" w:themeColor="hyperlink"/>
      <w:u w:val="single"/>
    </w:rPr>
  </w:style>
  <w:style w:type="character" w:styleId="UnresolvedMention">
    <w:name w:val="Unresolved Mention"/>
    <w:basedOn w:val="DefaultParagraphFont"/>
    <w:uiPriority w:val="99"/>
    <w:semiHidden/>
    <w:unhideWhenUsed/>
    <w:rsid w:val="00C47EF7"/>
    <w:rPr>
      <w:color w:val="605E5C"/>
      <w:shd w:val="clear" w:color="auto" w:fill="E1DFDD"/>
    </w:rPr>
  </w:style>
  <w:style w:type="character" w:styleId="FollowedHyperlink">
    <w:name w:val="FollowedHyperlink"/>
    <w:basedOn w:val="DefaultParagraphFont"/>
    <w:uiPriority w:val="99"/>
    <w:semiHidden/>
    <w:unhideWhenUsed/>
    <w:rsid w:val="009B4839"/>
    <w:rPr>
      <w:color w:val="96607D" w:themeColor="followedHyperlink"/>
      <w:u w:val="single"/>
    </w:rPr>
  </w:style>
  <w:style w:type="character" w:customStyle="1" w:styleId="Heading2Char">
    <w:name w:val="Heading 2 Char"/>
    <w:basedOn w:val="DefaultParagraphFont"/>
    <w:link w:val="Heading2"/>
    <w:uiPriority w:val="9"/>
    <w:rsid w:val="00C76BBD"/>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6F0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157">
      <w:bodyDiv w:val="1"/>
      <w:marLeft w:val="0"/>
      <w:marRight w:val="0"/>
      <w:marTop w:val="0"/>
      <w:marBottom w:val="0"/>
      <w:divBdr>
        <w:top w:val="none" w:sz="0" w:space="0" w:color="auto"/>
        <w:left w:val="none" w:sz="0" w:space="0" w:color="auto"/>
        <w:bottom w:val="none" w:sz="0" w:space="0" w:color="auto"/>
        <w:right w:val="none" w:sz="0" w:space="0" w:color="auto"/>
      </w:divBdr>
      <w:divsChild>
        <w:div w:id="527835525">
          <w:marLeft w:val="0"/>
          <w:marRight w:val="0"/>
          <w:marTop w:val="0"/>
          <w:marBottom w:val="240"/>
          <w:divBdr>
            <w:top w:val="none" w:sz="0" w:space="0" w:color="auto"/>
            <w:left w:val="none" w:sz="0" w:space="0" w:color="auto"/>
            <w:bottom w:val="none" w:sz="0" w:space="0" w:color="auto"/>
            <w:right w:val="none" w:sz="0" w:space="0" w:color="auto"/>
          </w:divBdr>
        </w:div>
        <w:div w:id="131946580">
          <w:marLeft w:val="0"/>
          <w:marRight w:val="0"/>
          <w:marTop w:val="0"/>
          <w:marBottom w:val="240"/>
          <w:divBdr>
            <w:top w:val="none" w:sz="0" w:space="0" w:color="auto"/>
            <w:left w:val="none" w:sz="0" w:space="0" w:color="auto"/>
            <w:bottom w:val="none" w:sz="0" w:space="0" w:color="auto"/>
            <w:right w:val="none" w:sz="0" w:space="0" w:color="auto"/>
          </w:divBdr>
        </w:div>
        <w:div w:id="1120227998">
          <w:marLeft w:val="0"/>
          <w:marRight w:val="0"/>
          <w:marTop w:val="0"/>
          <w:marBottom w:val="240"/>
          <w:divBdr>
            <w:top w:val="none" w:sz="0" w:space="0" w:color="auto"/>
            <w:left w:val="none" w:sz="0" w:space="0" w:color="auto"/>
            <w:bottom w:val="none" w:sz="0" w:space="0" w:color="auto"/>
            <w:right w:val="none" w:sz="0" w:space="0" w:color="auto"/>
          </w:divBdr>
        </w:div>
      </w:divsChild>
    </w:div>
    <w:div w:id="453064621">
      <w:bodyDiv w:val="1"/>
      <w:marLeft w:val="0"/>
      <w:marRight w:val="0"/>
      <w:marTop w:val="0"/>
      <w:marBottom w:val="0"/>
      <w:divBdr>
        <w:top w:val="none" w:sz="0" w:space="0" w:color="auto"/>
        <w:left w:val="none" w:sz="0" w:space="0" w:color="auto"/>
        <w:bottom w:val="none" w:sz="0" w:space="0" w:color="auto"/>
        <w:right w:val="none" w:sz="0" w:space="0" w:color="auto"/>
      </w:divBdr>
      <w:divsChild>
        <w:div w:id="1765958329">
          <w:marLeft w:val="0"/>
          <w:marRight w:val="0"/>
          <w:marTop w:val="0"/>
          <w:marBottom w:val="240"/>
          <w:divBdr>
            <w:top w:val="none" w:sz="0" w:space="0" w:color="auto"/>
            <w:left w:val="none" w:sz="0" w:space="0" w:color="auto"/>
            <w:bottom w:val="none" w:sz="0" w:space="0" w:color="auto"/>
            <w:right w:val="none" w:sz="0" w:space="0" w:color="auto"/>
          </w:divBdr>
        </w:div>
        <w:div w:id="46497699">
          <w:marLeft w:val="0"/>
          <w:marRight w:val="0"/>
          <w:marTop w:val="0"/>
          <w:marBottom w:val="240"/>
          <w:divBdr>
            <w:top w:val="none" w:sz="0" w:space="0" w:color="auto"/>
            <w:left w:val="none" w:sz="0" w:space="0" w:color="auto"/>
            <w:bottom w:val="none" w:sz="0" w:space="0" w:color="auto"/>
            <w:right w:val="none" w:sz="0" w:space="0" w:color="auto"/>
          </w:divBdr>
        </w:div>
        <w:div w:id="1286275446">
          <w:marLeft w:val="0"/>
          <w:marRight w:val="0"/>
          <w:marTop w:val="0"/>
          <w:marBottom w:val="240"/>
          <w:divBdr>
            <w:top w:val="none" w:sz="0" w:space="0" w:color="auto"/>
            <w:left w:val="none" w:sz="0" w:space="0" w:color="auto"/>
            <w:bottom w:val="none" w:sz="0" w:space="0" w:color="auto"/>
            <w:right w:val="none" w:sz="0" w:space="0" w:color="auto"/>
          </w:divBdr>
        </w:div>
      </w:divsChild>
    </w:div>
    <w:div w:id="901865114">
      <w:bodyDiv w:val="1"/>
      <w:marLeft w:val="0"/>
      <w:marRight w:val="0"/>
      <w:marTop w:val="0"/>
      <w:marBottom w:val="0"/>
      <w:divBdr>
        <w:top w:val="none" w:sz="0" w:space="0" w:color="auto"/>
        <w:left w:val="none" w:sz="0" w:space="0" w:color="auto"/>
        <w:bottom w:val="none" w:sz="0" w:space="0" w:color="auto"/>
        <w:right w:val="none" w:sz="0" w:space="0" w:color="auto"/>
      </w:divBdr>
      <w:divsChild>
        <w:div w:id="662006653">
          <w:marLeft w:val="0"/>
          <w:marRight w:val="0"/>
          <w:marTop w:val="0"/>
          <w:marBottom w:val="0"/>
          <w:divBdr>
            <w:top w:val="none" w:sz="0" w:space="0" w:color="auto"/>
            <w:left w:val="none" w:sz="0" w:space="0" w:color="auto"/>
            <w:bottom w:val="none" w:sz="0" w:space="0" w:color="auto"/>
            <w:right w:val="none" w:sz="0" w:space="0" w:color="auto"/>
          </w:divBdr>
        </w:div>
        <w:div w:id="141851292">
          <w:marLeft w:val="0"/>
          <w:marRight w:val="0"/>
          <w:marTop w:val="0"/>
          <w:marBottom w:val="0"/>
          <w:divBdr>
            <w:top w:val="none" w:sz="0" w:space="0" w:color="auto"/>
            <w:left w:val="none" w:sz="0" w:space="0" w:color="auto"/>
            <w:bottom w:val="none" w:sz="0" w:space="0" w:color="auto"/>
            <w:right w:val="none" w:sz="0" w:space="0" w:color="auto"/>
          </w:divBdr>
        </w:div>
        <w:div w:id="210267948">
          <w:marLeft w:val="0"/>
          <w:marRight w:val="0"/>
          <w:marTop w:val="0"/>
          <w:marBottom w:val="0"/>
          <w:divBdr>
            <w:top w:val="none" w:sz="0" w:space="0" w:color="auto"/>
            <w:left w:val="none" w:sz="0" w:space="0" w:color="auto"/>
            <w:bottom w:val="none" w:sz="0" w:space="0" w:color="auto"/>
            <w:right w:val="none" w:sz="0" w:space="0" w:color="auto"/>
          </w:divBdr>
        </w:div>
        <w:div w:id="1805391688">
          <w:marLeft w:val="0"/>
          <w:marRight w:val="0"/>
          <w:marTop w:val="0"/>
          <w:marBottom w:val="0"/>
          <w:divBdr>
            <w:top w:val="none" w:sz="0" w:space="0" w:color="auto"/>
            <w:left w:val="none" w:sz="0" w:space="0" w:color="auto"/>
            <w:bottom w:val="none" w:sz="0" w:space="0" w:color="auto"/>
            <w:right w:val="none" w:sz="0" w:space="0" w:color="auto"/>
          </w:divBdr>
        </w:div>
        <w:div w:id="769816744">
          <w:marLeft w:val="0"/>
          <w:marRight w:val="0"/>
          <w:marTop w:val="0"/>
          <w:marBottom w:val="0"/>
          <w:divBdr>
            <w:top w:val="none" w:sz="0" w:space="0" w:color="auto"/>
            <w:left w:val="none" w:sz="0" w:space="0" w:color="auto"/>
            <w:bottom w:val="none" w:sz="0" w:space="0" w:color="auto"/>
            <w:right w:val="none" w:sz="0" w:space="0" w:color="auto"/>
          </w:divBdr>
        </w:div>
        <w:div w:id="908610458">
          <w:marLeft w:val="0"/>
          <w:marRight w:val="0"/>
          <w:marTop w:val="0"/>
          <w:marBottom w:val="0"/>
          <w:divBdr>
            <w:top w:val="none" w:sz="0" w:space="0" w:color="auto"/>
            <w:left w:val="none" w:sz="0" w:space="0" w:color="auto"/>
            <w:bottom w:val="none" w:sz="0" w:space="0" w:color="auto"/>
            <w:right w:val="none" w:sz="0" w:space="0" w:color="auto"/>
          </w:divBdr>
        </w:div>
        <w:div w:id="1852329540">
          <w:marLeft w:val="0"/>
          <w:marRight w:val="0"/>
          <w:marTop w:val="0"/>
          <w:marBottom w:val="0"/>
          <w:divBdr>
            <w:top w:val="none" w:sz="0" w:space="0" w:color="auto"/>
            <w:left w:val="none" w:sz="0" w:space="0" w:color="auto"/>
            <w:bottom w:val="none" w:sz="0" w:space="0" w:color="auto"/>
            <w:right w:val="none" w:sz="0" w:space="0" w:color="auto"/>
          </w:divBdr>
        </w:div>
        <w:div w:id="1512141301">
          <w:marLeft w:val="0"/>
          <w:marRight w:val="0"/>
          <w:marTop w:val="0"/>
          <w:marBottom w:val="0"/>
          <w:divBdr>
            <w:top w:val="none" w:sz="0" w:space="0" w:color="auto"/>
            <w:left w:val="none" w:sz="0" w:space="0" w:color="auto"/>
            <w:bottom w:val="none" w:sz="0" w:space="0" w:color="auto"/>
            <w:right w:val="none" w:sz="0" w:space="0" w:color="auto"/>
          </w:divBdr>
        </w:div>
        <w:div w:id="1293903935">
          <w:marLeft w:val="0"/>
          <w:marRight w:val="0"/>
          <w:marTop w:val="0"/>
          <w:marBottom w:val="0"/>
          <w:divBdr>
            <w:top w:val="none" w:sz="0" w:space="0" w:color="auto"/>
            <w:left w:val="none" w:sz="0" w:space="0" w:color="auto"/>
            <w:bottom w:val="none" w:sz="0" w:space="0" w:color="auto"/>
            <w:right w:val="none" w:sz="0" w:space="0" w:color="auto"/>
          </w:divBdr>
        </w:div>
        <w:div w:id="1022590453">
          <w:marLeft w:val="0"/>
          <w:marRight w:val="0"/>
          <w:marTop w:val="0"/>
          <w:marBottom w:val="0"/>
          <w:divBdr>
            <w:top w:val="none" w:sz="0" w:space="0" w:color="auto"/>
            <w:left w:val="none" w:sz="0" w:space="0" w:color="auto"/>
            <w:bottom w:val="none" w:sz="0" w:space="0" w:color="auto"/>
            <w:right w:val="none" w:sz="0" w:space="0" w:color="auto"/>
          </w:divBdr>
        </w:div>
        <w:div w:id="857549999">
          <w:marLeft w:val="0"/>
          <w:marRight w:val="0"/>
          <w:marTop w:val="0"/>
          <w:marBottom w:val="0"/>
          <w:divBdr>
            <w:top w:val="none" w:sz="0" w:space="0" w:color="auto"/>
            <w:left w:val="none" w:sz="0" w:space="0" w:color="auto"/>
            <w:bottom w:val="none" w:sz="0" w:space="0" w:color="auto"/>
            <w:right w:val="none" w:sz="0" w:space="0" w:color="auto"/>
          </w:divBdr>
        </w:div>
        <w:div w:id="1186941385">
          <w:marLeft w:val="0"/>
          <w:marRight w:val="0"/>
          <w:marTop w:val="0"/>
          <w:marBottom w:val="0"/>
          <w:divBdr>
            <w:top w:val="none" w:sz="0" w:space="0" w:color="auto"/>
            <w:left w:val="none" w:sz="0" w:space="0" w:color="auto"/>
            <w:bottom w:val="none" w:sz="0" w:space="0" w:color="auto"/>
            <w:right w:val="none" w:sz="0" w:space="0" w:color="auto"/>
          </w:divBdr>
        </w:div>
      </w:divsChild>
    </w:div>
    <w:div w:id="1752920510">
      <w:bodyDiv w:val="1"/>
      <w:marLeft w:val="0"/>
      <w:marRight w:val="0"/>
      <w:marTop w:val="0"/>
      <w:marBottom w:val="0"/>
      <w:divBdr>
        <w:top w:val="none" w:sz="0" w:space="0" w:color="auto"/>
        <w:left w:val="none" w:sz="0" w:space="0" w:color="auto"/>
        <w:bottom w:val="none" w:sz="0" w:space="0" w:color="auto"/>
        <w:right w:val="none" w:sz="0" w:space="0" w:color="auto"/>
      </w:divBdr>
      <w:divsChild>
        <w:div w:id="1352339448">
          <w:marLeft w:val="0"/>
          <w:marRight w:val="0"/>
          <w:marTop w:val="0"/>
          <w:marBottom w:val="0"/>
          <w:divBdr>
            <w:top w:val="none" w:sz="0" w:space="0" w:color="auto"/>
            <w:left w:val="none" w:sz="0" w:space="0" w:color="auto"/>
            <w:bottom w:val="none" w:sz="0" w:space="0" w:color="auto"/>
            <w:right w:val="none" w:sz="0" w:space="0" w:color="auto"/>
          </w:divBdr>
        </w:div>
        <w:div w:id="1387098233">
          <w:marLeft w:val="0"/>
          <w:marRight w:val="0"/>
          <w:marTop w:val="0"/>
          <w:marBottom w:val="0"/>
          <w:divBdr>
            <w:top w:val="none" w:sz="0" w:space="0" w:color="auto"/>
            <w:left w:val="none" w:sz="0" w:space="0" w:color="auto"/>
            <w:bottom w:val="none" w:sz="0" w:space="0" w:color="auto"/>
            <w:right w:val="none" w:sz="0" w:space="0" w:color="auto"/>
          </w:divBdr>
        </w:div>
        <w:div w:id="915015319">
          <w:marLeft w:val="0"/>
          <w:marRight w:val="0"/>
          <w:marTop w:val="0"/>
          <w:marBottom w:val="0"/>
          <w:divBdr>
            <w:top w:val="none" w:sz="0" w:space="0" w:color="auto"/>
            <w:left w:val="none" w:sz="0" w:space="0" w:color="auto"/>
            <w:bottom w:val="none" w:sz="0" w:space="0" w:color="auto"/>
            <w:right w:val="none" w:sz="0" w:space="0" w:color="auto"/>
          </w:divBdr>
        </w:div>
        <w:div w:id="1538618235">
          <w:marLeft w:val="0"/>
          <w:marRight w:val="0"/>
          <w:marTop w:val="0"/>
          <w:marBottom w:val="0"/>
          <w:divBdr>
            <w:top w:val="none" w:sz="0" w:space="0" w:color="auto"/>
            <w:left w:val="none" w:sz="0" w:space="0" w:color="auto"/>
            <w:bottom w:val="none" w:sz="0" w:space="0" w:color="auto"/>
            <w:right w:val="none" w:sz="0" w:space="0" w:color="auto"/>
          </w:divBdr>
        </w:div>
        <w:div w:id="1646011565">
          <w:marLeft w:val="0"/>
          <w:marRight w:val="0"/>
          <w:marTop w:val="0"/>
          <w:marBottom w:val="0"/>
          <w:divBdr>
            <w:top w:val="none" w:sz="0" w:space="0" w:color="auto"/>
            <w:left w:val="none" w:sz="0" w:space="0" w:color="auto"/>
            <w:bottom w:val="none" w:sz="0" w:space="0" w:color="auto"/>
            <w:right w:val="none" w:sz="0" w:space="0" w:color="auto"/>
          </w:divBdr>
        </w:div>
        <w:div w:id="1800151668">
          <w:marLeft w:val="0"/>
          <w:marRight w:val="0"/>
          <w:marTop w:val="0"/>
          <w:marBottom w:val="0"/>
          <w:divBdr>
            <w:top w:val="none" w:sz="0" w:space="0" w:color="auto"/>
            <w:left w:val="none" w:sz="0" w:space="0" w:color="auto"/>
            <w:bottom w:val="none" w:sz="0" w:space="0" w:color="auto"/>
            <w:right w:val="none" w:sz="0" w:space="0" w:color="auto"/>
          </w:divBdr>
        </w:div>
        <w:div w:id="125007245">
          <w:marLeft w:val="0"/>
          <w:marRight w:val="0"/>
          <w:marTop w:val="0"/>
          <w:marBottom w:val="0"/>
          <w:divBdr>
            <w:top w:val="none" w:sz="0" w:space="0" w:color="auto"/>
            <w:left w:val="none" w:sz="0" w:space="0" w:color="auto"/>
            <w:bottom w:val="none" w:sz="0" w:space="0" w:color="auto"/>
            <w:right w:val="none" w:sz="0" w:space="0" w:color="auto"/>
          </w:divBdr>
        </w:div>
        <w:div w:id="1550726501">
          <w:marLeft w:val="0"/>
          <w:marRight w:val="0"/>
          <w:marTop w:val="0"/>
          <w:marBottom w:val="0"/>
          <w:divBdr>
            <w:top w:val="none" w:sz="0" w:space="0" w:color="auto"/>
            <w:left w:val="none" w:sz="0" w:space="0" w:color="auto"/>
            <w:bottom w:val="none" w:sz="0" w:space="0" w:color="auto"/>
            <w:right w:val="none" w:sz="0" w:space="0" w:color="auto"/>
          </w:divBdr>
        </w:div>
        <w:div w:id="532959591">
          <w:marLeft w:val="0"/>
          <w:marRight w:val="0"/>
          <w:marTop w:val="0"/>
          <w:marBottom w:val="0"/>
          <w:divBdr>
            <w:top w:val="none" w:sz="0" w:space="0" w:color="auto"/>
            <w:left w:val="none" w:sz="0" w:space="0" w:color="auto"/>
            <w:bottom w:val="none" w:sz="0" w:space="0" w:color="auto"/>
            <w:right w:val="none" w:sz="0" w:space="0" w:color="auto"/>
          </w:divBdr>
        </w:div>
        <w:div w:id="264852934">
          <w:marLeft w:val="0"/>
          <w:marRight w:val="0"/>
          <w:marTop w:val="0"/>
          <w:marBottom w:val="0"/>
          <w:divBdr>
            <w:top w:val="none" w:sz="0" w:space="0" w:color="auto"/>
            <w:left w:val="none" w:sz="0" w:space="0" w:color="auto"/>
            <w:bottom w:val="none" w:sz="0" w:space="0" w:color="auto"/>
            <w:right w:val="none" w:sz="0" w:space="0" w:color="auto"/>
          </w:divBdr>
        </w:div>
        <w:div w:id="1823690728">
          <w:marLeft w:val="0"/>
          <w:marRight w:val="0"/>
          <w:marTop w:val="0"/>
          <w:marBottom w:val="0"/>
          <w:divBdr>
            <w:top w:val="none" w:sz="0" w:space="0" w:color="auto"/>
            <w:left w:val="none" w:sz="0" w:space="0" w:color="auto"/>
            <w:bottom w:val="none" w:sz="0" w:space="0" w:color="auto"/>
            <w:right w:val="none" w:sz="0" w:space="0" w:color="auto"/>
          </w:divBdr>
        </w:div>
        <w:div w:id="4768464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e-lfh.org.uk/myElearning/Index?HierarchyId=0_37759_38902&amp;programmeId=37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mc-uk.org/education/standards-guidance-and-curricula/guidance/student-professionalism-and-ftp/achieving-good-medical-practice" TargetMode="External"/><Relationship Id="rId5" Type="http://schemas.openxmlformats.org/officeDocument/2006/relationships/hyperlink" Target="https://forms.office.com/Pages/ResponsePage.aspx?id=MH_ksn3NTkql2rGM8aQVG1X-ps6bvmxGqutNraTAmelUOEk3MlowSDJKUUJUNFZKSjVPOUVDTEpONi4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CONWAY, Ciaran (THE STOKE ROAD SURGERY,)</dc:creator>
  <cp:keywords/>
  <cp:lastModifiedBy>Alison Capey</cp:lastModifiedBy>
  <cp:revision>2</cp:revision>
  <dcterms:created xsi:type="dcterms:W3CDTF">2024-08-29T12:56:00Z</dcterms:created>
  <dcterms:modified xsi:type="dcterms:W3CDTF">2024-08-29T12:56:00Z</dcterms:modified>
</cp:coreProperties>
</file>