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AF446" w14:textId="77777777" w:rsidR="009B7E35" w:rsidRPr="009B7E35" w:rsidRDefault="009B7E35" w:rsidP="009B7E35">
      <w:pPr>
        <w:jc w:val="center"/>
        <w:rPr>
          <w:rFonts w:ascii="Palatino" w:hAnsi="Palatino" w:cstheme="majorHAnsi"/>
          <w:sz w:val="21"/>
          <w:szCs w:val="21"/>
        </w:rPr>
      </w:pPr>
    </w:p>
    <w:p w14:paraId="326A10D9" w14:textId="77777777" w:rsidR="009B7E35" w:rsidRDefault="009B7E35" w:rsidP="009B7E35">
      <w:pPr>
        <w:jc w:val="center"/>
        <w:rPr>
          <w:rFonts w:ascii="Palatino" w:hAnsi="Palatino" w:cstheme="majorHAnsi"/>
          <w:b/>
          <w:sz w:val="28"/>
          <w:szCs w:val="28"/>
        </w:rPr>
      </w:pPr>
    </w:p>
    <w:p w14:paraId="2A15327E" w14:textId="77777777" w:rsidR="005432C2" w:rsidRPr="009B7E35" w:rsidRDefault="005432C2" w:rsidP="00270C80">
      <w:pPr>
        <w:jc w:val="center"/>
        <w:outlineLvl w:val="0"/>
        <w:rPr>
          <w:rFonts w:ascii="Palatino" w:hAnsi="Palatino" w:cstheme="majorHAnsi"/>
          <w:b/>
          <w:sz w:val="32"/>
          <w:szCs w:val="32"/>
        </w:rPr>
      </w:pPr>
      <w:r w:rsidRPr="009B7E35">
        <w:rPr>
          <w:rFonts w:ascii="Palatino" w:hAnsi="Palatino" w:cstheme="majorHAnsi"/>
          <w:b/>
          <w:sz w:val="32"/>
          <w:szCs w:val="32"/>
        </w:rPr>
        <w:t>Poverty and Social Exclusion in Japan</w:t>
      </w:r>
    </w:p>
    <w:p w14:paraId="0A3EE790" w14:textId="77777777" w:rsidR="00E056B1" w:rsidRPr="009B7E35" w:rsidRDefault="005432C2" w:rsidP="00270C80">
      <w:pPr>
        <w:jc w:val="center"/>
        <w:outlineLvl w:val="0"/>
        <w:rPr>
          <w:rFonts w:ascii="Palatino" w:hAnsi="Palatino" w:cstheme="majorHAnsi"/>
          <w:b/>
          <w:sz w:val="28"/>
          <w:szCs w:val="28"/>
        </w:rPr>
      </w:pPr>
      <w:r w:rsidRPr="009B7E35">
        <w:rPr>
          <w:rFonts w:ascii="Palatino" w:hAnsi="Palatino" w:cstheme="majorHAnsi"/>
          <w:b/>
          <w:sz w:val="28"/>
          <w:szCs w:val="28"/>
        </w:rPr>
        <w:t>—An Overview from the 1990s and Recent Policy Responses—</w:t>
      </w:r>
    </w:p>
    <w:p w14:paraId="2A464659" w14:textId="77777777" w:rsidR="009B7E35" w:rsidRPr="009B7E35" w:rsidRDefault="009B7E35" w:rsidP="009B7E35">
      <w:pPr>
        <w:jc w:val="center"/>
        <w:rPr>
          <w:rFonts w:ascii="Palatino" w:hAnsi="Palatino" w:cstheme="majorHAnsi"/>
          <w:b/>
          <w:sz w:val="21"/>
          <w:szCs w:val="21"/>
        </w:rPr>
      </w:pPr>
    </w:p>
    <w:p w14:paraId="65057F4C" w14:textId="77777777" w:rsidR="009B7E35" w:rsidRPr="00EB57D7" w:rsidRDefault="00EB57D7" w:rsidP="009B7E35">
      <w:pPr>
        <w:jc w:val="center"/>
        <w:rPr>
          <w:rFonts w:ascii="Palatino" w:hAnsi="Palatino" w:cstheme="majorHAnsi"/>
          <w:szCs w:val="24"/>
        </w:rPr>
      </w:pPr>
      <w:r w:rsidRPr="00EB57D7">
        <w:rPr>
          <w:rFonts w:ascii="Palatino" w:hAnsi="Palatino" w:cstheme="majorHAnsi"/>
          <w:szCs w:val="24"/>
        </w:rPr>
        <w:t>by</w:t>
      </w:r>
    </w:p>
    <w:p w14:paraId="1EF184F1" w14:textId="77777777" w:rsidR="00E056B1" w:rsidRPr="00EB57D7" w:rsidRDefault="00E056B1" w:rsidP="009B7E35">
      <w:pPr>
        <w:jc w:val="center"/>
        <w:rPr>
          <w:rFonts w:ascii="Palatino" w:hAnsi="Palatino" w:cstheme="majorHAnsi"/>
          <w:szCs w:val="24"/>
        </w:rPr>
      </w:pPr>
      <w:r w:rsidRPr="00EB57D7">
        <w:rPr>
          <w:rFonts w:ascii="Palatino" w:hAnsi="Palatino" w:cstheme="majorHAnsi"/>
          <w:szCs w:val="24"/>
        </w:rPr>
        <w:t>Masami  Iwata</w:t>
      </w:r>
    </w:p>
    <w:p w14:paraId="3285CE78" w14:textId="77777777" w:rsidR="009B7E35" w:rsidRPr="00EB57D7" w:rsidRDefault="009B7E35" w:rsidP="009B7E35">
      <w:pPr>
        <w:jc w:val="center"/>
        <w:rPr>
          <w:rFonts w:ascii="Palatino" w:hAnsi="Palatino" w:cstheme="majorHAnsi"/>
          <w:szCs w:val="24"/>
        </w:rPr>
      </w:pPr>
    </w:p>
    <w:p w14:paraId="524E9EEB" w14:textId="77777777" w:rsidR="009B7E35" w:rsidRPr="00EB57D7" w:rsidRDefault="00EB57D7" w:rsidP="00270C80">
      <w:pPr>
        <w:jc w:val="center"/>
        <w:outlineLvl w:val="0"/>
        <w:rPr>
          <w:rFonts w:ascii="Palatino" w:hAnsi="Palatino" w:cstheme="majorHAnsi"/>
          <w:szCs w:val="24"/>
        </w:rPr>
      </w:pPr>
      <w:r w:rsidRPr="00EB57D7">
        <w:rPr>
          <w:rFonts w:ascii="Palatino" w:hAnsi="Palatino" w:cstheme="majorHAnsi"/>
          <w:szCs w:val="24"/>
        </w:rPr>
        <w:t>Paper for</w:t>
      </w:r>
    </w:p>
    <w:p w14:paraId="2D338898" w14:textId="77777777" w:rsidR="009B7E35" w:rsidRPr="009B7E35" w:rsidRDefault="009B7E35" w:rsidP="009B7E35">
      <w:pPr>
        <w:jc w:val="center"/>
        <w:rPr>
          <w:rFonts w:ascii="Palatino" w:hAnsi="Palatino" w:cstheme="majorHAnsi"/>
          <w:sz w:val="28"/>
          <w:szCs w:val="28"/>
        </w:rPr>
      </w:pPr>
      <w:r w:rsidRPr="009B7E35">
        <w:rPr>
          <w:rFonts w:ascii="Palatino" w:hAnsi="Palatino" w:cstheme="majorHAnsi"/>
          <w:sz w:val="28"/>
          <w:szCs w:val="28"/>
        </w:rPr>
        <w:t>UK-Japan State of the Art Measurement of Poverty Seminar</w:t>
      </w:r>
    </w:p>
    <w:p w14:paraId="2D0C0649" w14:textId="77777777" w:rsidR="009B7E35" w:rsidRPr="009B7E35" w:rsidRDefault="009B7E35" w:rsidP="009B7E35">
      <w:pPr>
        <w:jc w:val="center"/>
        <w:rPr>
          <w:rFonts w:ascii="Palatino" w:hAnsi="Palatino" w:cstheme="majorHAnsi"/>
          <w:sz w:val="28"/>
          <w:szCs w:val="28"/>
        </w:rPr>
      </w:pPr>
      <w:r w:rsidRPr="009B7E35">
        <w:rPr>
          <w:rFonts w:ascii="Palatino" w:hAnsi="Palatino" w:cstheme="majorHAnsi"/>
          <w:sz w:val="28"/>
          <w:szCs w:val="28"/>
        </w:rPr>
        <w:t>IPSS, Tokyo</w:t>
      </w:r>
      <w:r>
        <w:rPr>
          <w:rFonts w:ascii="Palatino" w:hAnsi="Palatino" w:cstheme="majorHAnsi" w:hint="eastAsia"/>
          <w:sz w:val="28"/>
          <w:szCs w:val="28"/>
        </w:rPr>
        <w:t>，</w:t>
      </w:r>
      <w:r w:rsidRPr="009B7E35">
        <w:rPr>
          <w:rFonts w:ascii="Palatino" w:hAnsi="Palatino" w:cstheme="majorHAnsi"/>
          <w:sz w:val="28"/>
          <w:szCs w:val="28"/>
        </w:rPr>
        <w:t>Jan.6</w:t>
      </w:r>
      <w:r w:rsidRPr="009B7E35">
        <w:rPr>
          <w:rFonts w:ascii="Palatino" w:hAnsi="Palatino" w:cstheme="majorHAnsi"/>
          <w:sz w:val="28"/>
          <w:szCs w:val="28"/>
        </w:rPr>
        <w:t xml:space="preserve">　</w:t>
      </w:r>
      <w:r w:rsidRPr="009B7E35">
        <w:rPr>
          <w:rFonts w:ascii="Palatino" w:hAnsi="Palatino" w:cstheme="majorHAnsi"/>
          <w:sz w:val="28"/>
          <w:szCs w:val="28"/>
        </w:rPr>
        <w:t>2012</w:t>
      </w:r>
    </w:p>
    <w:p w14:paraId="4159FAE8" w14:textId="77777777" w:rsidR="00E056B1" w:rsidRPr="009B7E35" w:rsidRDefault="00E056B1" w:rsidP="009B7E35">
      <w:pPr>
        <w:jc w:val="center"/>
        <w:rPr>
          <w:rFonts w:ascii="Palatino" w:hAnsi="Palatino" w:cstheme="majorHAnsi"/>
          <w:sz w:val="21"/>
          <w:szCs w:val="21"/>
        </w:rPr>
      </w:pPr>
    </w:p>
    <w:p w14:paraId="33FB6EB3" w14:textId="77777777" w:rsidR="00EB57D7" w:rsidRDefault="00EB57D7" w:rsidP="00383A7F">
      <w:pPr>
        <w:rPr>
          <w:rFonts w:ascii="Palatino" w:hAnsi="Palatino" w:cstheme="majorHAnsi"/>
          <w:b/>
          <w:sz w:val="21"/>
          <w:szCs w:val="21"/>
        </w:rPr>
      </w:pPr>
    </w:p>
    <w:p w14:paraId="4FD28964" w14:textId="77777777" w:rsidR="00EB57D7" w:rsidRDefault="00EB57D7" w:rsidP="00383A7F">
      <w:pPr>
        <w:rPr>
          <w:rFonts w:ascii="Palatino" w:hAnsi="Palatino" w:cstheme="majorHAnsi"/>
          <w:b/>
          <w:sz w:val="21"/>
          <w:szCs w:val="21"/>
        </w:rPr>
      </w:pPr>
    </w:p>
    <w:p w14:paraId="5AED9C4A" w14:textId="77777777" w:rsidR="00EB57D7" w:rsidRDefault="00EB57D7" w:rsidP="00383A7F">
      <w:pPr>
        <w:rPr>
          <w:rFonts w:ascii="Palatino" w:hAnsi="Palatino" w:cstheme="majorHAnsi"/>
          <w:b/>
          <w:sz w:val="21"/>
          <w:szCs w:val="21"/>
        </w:rPr>
      </w:pPr>
    </w:p>
    <w:p w14:paraId="6891B05A" w14:textId="77777777" w:rsidR="00EB57D7" w:rsidRDefault="00EB57D7" w:rsidP="00383A7F">
      <w:pPr>
        <w:rPr>
          <w:rFonts w:ascii="Palatino" w:hAnsi="Palatino" w:cstheme="majorHAnsi"/>
          <w:b/>
          <w:sz w:val="21"/>
          <w:szCs w:val="21"/>
        </w:rPr>
      </w:pPr>
    </w:p>
    <w:p w14:paraId="382754FF" w14:textId="77777777" w:rsidR="00E056B1" w:rsidRDefault="00EB57D7" w:rsidP="00270C80">
      <w:pPr>
        <w:spacing w:line="240" w:lineRule="auto"/>
        <w:outlineLvl w:val="0"/>
        <w:rPr>
          <w:rFonts w:ascii="Palatino" w:hAnsi="Palatino" w:cstheme="majorHAnsi"/>
          <w:b/>
          <w:sz w:val="21"/>
          <w:szCs w:val="21"/>
        </w:rPr>
      </w:pPr>
      <w:r>
        <w:rPr>
          <w:rFonts w:ascii="Palatino" w:hAnsi="Palatino" w:cstheme="majorHAnsi" w:hint="eastAsia"/>
          <w:b/>
          <w:sz w:val="21"/>
          <w:szCs w:val="21"/>
        </w:rPr>
        <w:t xml:space="preserve">　</w:t>
      </w:r>
      <w:r>
        <w:rPr>
          <w:rFonts w:ascii="Palatino" w:hAnsi="Palatino" w:cstheme="majorHAnsi"/>
          <w:b/>
          <w:sz w:val="21"/>
          <w:szCs w:val="21"/>
        </w:rPr>
        <w:t>Faculty of Integrated Arts and Social Science ,</w:t>
      </w:r>
      <w:r w:rsidR="009B7E35" w:rsidRPr="009B7E35">
        <w:rPr>
          <w:rFonts w:ascii="Palatino" w:hAnsi="Palatino" w:cstheme="majorHAnsi"/>
          <w:b/>
          <w:sz w:val="21"/>
          <w:szCs w:val="21"/>
        </w:rPr>
        <w:t>Japan Women’s University</w:t>
      </w:r>
    </w:p>
    <w:p w14:paraId="57F48E7B" w14:textId="77777777" w:rsidR="00EB57D7" w:rsidRPr="00F21521" w:rsidRDefault="00EB57D7" w:rsidP="00EB57D7">
      <w:pPr>
        <w:spacing w:line="240" w:lineRule="auto"/>
        <w:rPr>
          <w:rFonts w:ascii="Palatino" w:hAnsi="Palatino" w:cstheme="majorHAnsi"/>
          <w:b/>
          <w:sz w:val="21"/>
          <w:szCs w:val="21"/>
        </w:rPr>
      </w:pPr>
      <w:r>
        <w:rPr>
          <w:rFonts w:ascii="Palatino" w:hAnsi="Palatino" w:cstheme="majorHAnsi"/>
          <w:sz w:val="21"/>
          <w:szCs w:val="21"/>
        </w:rPr>
        <w:t xml:space="preserve">  </w:t>
      </w:r>
      <w:r w:rsidRPr="00F21521">
        <w:rPr>
          <w:rFonts w:ascii="Palatino" w:hAnsi="Palatino" w:cstheme="majorHAnsi"/>
          <w:b/>
          <w:sz w:val="21"/>
          <w:szCs w:val="21"/>
        </w:rPr>
        <w:t xml:space="preserve">1-1-1 </w:t>
      </w:r>
      <w:proofErr w:type="spellStart"/>
      <w:r w:rsidRPr="00F21521">
        <w:rPr>
          <w:rFonts w:ascii="Palatino" w:hAnsi="Palatino" w:cstheme="majorHAnsi"/>
          <w:b/>
          <w:sz w:val="21"/>
          <w:szCs w:val="21"/>
        </w:rPr>
        <w:t>Nishiikuta</w:t>
      </w:r>
      <w:proofErr w:type="spellEnd"/>
      <w:r w:rsidRPr="00F21521">
        <w:rPr>
          <w:rFonts w:ascii="Palatino" w:hAnsi="Palatino" w:cstheme="majorHAnsi"/>
          <w:b/>
          <w:sz w:val="21"/>
          <w:szCs w:val="21"/>
        </w:rPr>
        <w:t xml:space="preserve">, </w:t>
      </w:r>
      <w:proofErr w:type="spellStart"/>
      <w:r w:rsidRPr="00F21521">
        <w:rPr>
          <w:rFonts w:ascii="Palatino" w:hAnsi="Palatino" w:cstheme="majorHAnsi"/>
          <w:b/>
          <w:sz w:val="21"/>
          <w:szCs w:val="21"/>
        </w:rPr>
        <w:t>Tama,Kawasaki</w:t>
      </w:r>
      <w:proofErr w:type="spellEnd"/>
      <w:r w:rsidRPr="00F21521">
        <w:rPr>
          <w:rFonts w:ascii="Palatino" w:hAnsi="Palatino" w:cstheme="majorHAnsi"/>
          <w:b/>
          <w:sz w:val="21"/>
          <w:szCs w:val="21"/>
        </w:rPr>
        <w:t xml:space="preserve">, </w:t>
      </w:r>
      <w:proofErr w:type="spellStart"/>
      <w:r w:rsidRPr="00F21521">
        <w:rPr>
          <w:rFonts w:ascii="Palatino" w:hAnsi="Palatino" w:cstheme="majorHAnsi"/>
          <w:b/>
          <w:sz w:val="21"/>
          <w:szCs w:val="21"/>
        </w:rPr>
        <w:t>kanagawa</w:t>
      </w:r>
      <w:proofErr w:type="spellEnd"/>
      <w:r w:rsidRPr="00F21521">
        <w:rPr>
          <w:rFonts w:ascii="Palatino" w:hAnsi="Palatino" w:cstheme="majorHAnsi"/>
          <w:b/>
          <w:sz w:val="21"/>
          <w:szCs w:val="21"/>
        </w:rPr>
        <w:t>, Japan,214-8565</w:t>
      </w:r>
    </w:p>
    <w:p w14:paraId="5C0AE856" w14:textId="77777777" w:rsidR="00EB57D7" w:rsidRPr="00F21521" w:rsidRDefault="00EB57D7" w:rsidP="00EB57D7">
      <w:pPr>
        <w:spacing w:line="240" w:lineRule="auto"/>
        <w:rPr>
          <w:rFonts w:ascii="Palatino" w:hAnsi="Palatino" w:cstheme="majorHAnsi"/>
          <w:b/>
          <w:sz w:val="21"/>
          <w:szCs w:val="21"/>
        </w:rPr>
      </w:pPr>
      <w:r w:rsidRPr="00F21521">
        <w:rPr>
          <w:rFonts w:ascii="Palatino" w:hAnsi="Palatino" w:cstheme="majorHAnsi"/>
          <w:b/>
          <w:sz w:val="21"/>
          <w:szCs w:val="21"/>
        </w:rPr>
        <w:t xml:space="preserve">                              e-mail: miwata@jwu.ac.jp</w:t>
      </w:r>
    </w:p>
    <w:p w14:paraId="29801B69" w14:textId="77777777" w:rsidR="00E056B1" w:rsidRPr="009B7E35" w:rsidRDefault="00E056B1" w:rsidP="00EB57D7">
      <w:pPr>
        <w:spacing w:line="240" w:lineRule="auto"/>
        <w:rPr>
          <w:rFonts w:ascii="Palatino" w:hAnsi="Palatino" w:cstheme="majorHAnsi"/>
          <w:sz w:val="21"/>
          <w:szCs w:val="21"/>
        </w:rPr>
      </w:pPr>
    </w:p>
    <w:p w14:paraId="32A861C3" w14:textId="77777777" w:rsidR="00E056B1" w:rsidRPr="009B7E35" w:rsidRDefault="00E056B1" w:rsidP="00383A7F">
      <w:pPr>
        <w:rPr>
          <w:rFonts w:ascii="Palatino" w:hAnsi="Palatino" w:cstheme="majorHAnsi"/>
          <w:sz w:val="21"/>
          <w:szCs w:val="21"/>
        </w:rPr>
      </w:pPr>
    </w:p>
    <w:p w14:paraId="6DB8D1C9" w14:textId="77777777" w:rsidR="00A72596" w:rsidRDefault="00A72596" w:rsidP="00A72596">
      <w:pPr>
        <w:outlineLvl w:val="0"/>
        <w:rPr>
          <w:rFonts w:ascii="Palatino" w:hAnsi="Palatino" w:cstheme="majorHAnsi"/>
          <w:b/>
          <w:szCs w:val="24"/>
        </w:rPr>
      </w:pPr>
    </w:p>
    <w:p w14:paraId="66CE6385" w14:textId="0F314DC7" w:rsidR="00A72596" w:rsidRDefault="00A72596" w:rsidP="00A72596">
      <w:pPr>
        <w:outlineLvl w:val="0"/>
        <w:rPr>
          <w:rFonts w:ascii="Palatino" w:hAnsi="Palatino" w:cstheme="majorHAnsi"/>
          <w:b/>
          <w:szCs w:val="24"/>
        </w:rPr>
      </w:pPr>
      <w:r>
        <w:rPr>
          <w:rFonts w:ascii="Palatino" w:hAnsi="Palatino" w:cstheme="majorHAnsi"/>
          <w:b/>
          <w:szCs w:val="24"/>
        </w:rPr>
        <w:t>Contents</w:t>
      </w:r>
    </w:p>
    <w:p w14:paraId="16CCD1AA" w14:textId="77777777" w:rsidR="00A72596" w:rsidRPr="009B7E35" w:rsidRDefault="00A72596" w:rsidP="00A72596">
      <w:pPr>
        <w:outlineLvl w:val="0"/>
        <w:rPr>
          <w:rFonts w:ascii="Palatino" w:hAnsi="Palatino" w:cstheme="majorHAnsi"/>
          <w:b/>
          <w:szCs w:val="24"/>
        </w:rPr>
      </w:pPr>
      <w:r w:rsidRPr="009B7E35">
        <w:rPr>
          <w:rFonts w:ascii="Palatino" w:hAnsi="Palatino" w:cstheme="majorHAnsi"/>
          <w:b/>
          <w:szCs w:val="24"/>
        </w:rPr>
        <w:t>1. Introduction</w:t>
      </w:r>
    </w:p>
    <w:p w14:paraId="4A943342" w14:textId="77777777" w:rsidR="00A72596" w:rsidRPr="009B7E35" w:rsidRDefault="00A72596" w:rsidP="00A72596">
      <w:pPr>
        <w:outlineLvl w:val="0"/>
        <w:rPr>
          <w:rFonts w:ascii="Palatino" w:hAnsi="Palatino" w:cstheme="majorHAnsi"/>
          <w:b/>
          <w:szCs w:val="24"/>
        </w:rPr>
      </w:pPr>
      <w:r w:rsidRPr="009B7E35">
        <w:rPr>
          <w:rFonts w:ascii="Palatino" w:hAnsi="Palatino" w:cstheme="majorHAnsi"/>
          <w:b/>
          <w:szCs w:val="24"/>
        </w:rPr>
        <w:t xml:space="preserve">2. The official definition of ‘poverty’ and ‘poverty measurement’ </w:t>
      </w:r>
    </w:p>
    <w:p w14:paraId="327F5646" w14:textId="77777777" w:rsidR="00A72596" w:rsidRPr="00BA0407" w:rsidRDefault="00A72596" w:rsidP="00A72596">
      <w:pPr>
        <w:outlineLvl w:val="0"/>
        <w:rPr>
          <w:rFonts w:ascii="Palatino" w:hAnsi="Palatino" w:cstheme="majorHAnsi"/>
          <w:b/>
          <w:szCs w:val="24"/>
        </w:rPr>
      </w:pPr>
      <w:r w:rsidRPr="00BA0407">
        <w:rPr>
          <w:rFonts w:ascii="Palatino" w:hAnsi="Palatino" w:cstheme="majorHAnsi"/>
          <w:b/>
          <w:szCs w:val="24"/>
        </w:rPr>
        <w:t xml:space="preserve">3. Who is poor ? </w:t>
      </w:r>
    </w:p>
    <w:p w14:paraId="5A1D9977" w14:textId="77777777" w:rsidR="00A72596" w:rsidRPr="009B7E35" w:rsidRDefault="00A72596" w:rsidP="00A72596">
      <w:pPr>
        <w:outlineLvl w:val="0"/>
        <w:rPr>
          <w:rFonts w:ascii="Palatino" w:hAnsi="Palatino" w:cstheme="majorHAnsi"/>
          <w:b/>
          <w:szCs w:val="24"/>
        </w:rPr>
      </w:pPr>
      <w:r w:rsidRPr="009B7E35">
        <w:rPr>
          <w:rFonts w:ascii="Palatino" w:hAnsi="Palatino" w:cstheme="majorHAnsi"/>
          <w:b/>
          <w:szCs w:val="24"/>
        </w:rPr>
        <w:t>4. Poverty dynamics</w:t>
      </w:r>
    </w:p>
    <w:p w14:paraId="3C95427F" w14:textId="77777777" w:rsidR="00A72596" w:rsidRPr="009B7E35" w:rsidRDefault="00A72596" w:rsidP="00A72596">
      <w:pPr>
        <w:outlineLvl w:val="0"/>
        <w:rPr>
          <w:rFonts w:ascii="Palatino" w:hAnsi="Palatino" w:cstheme="majorHAnsi"/>
          <w:b/>
          <w:szCs w:val="24"/>
        </w:rPr>
      </w:pPr>
      <w:r w:rsidRPr="009B7E35">
        <w:rPr>
          <w:rFonts w:ascii="Palatino" w:hAnsi="Palatino" w:cstheme="majorHAnsi"/>
          <w:b/>
          <w:szCs w:val="24"/>
        </w:rPr>
        <w:t>5. Poverty-line studies  ( Minimum Cost of Living)</w:t>
      </w:r>
    </w:p>
    <w:p w14:paraId="4524DAED" w14:textId="77777777" w:rsidR="00A72596" w:rsidRPr="009B7E35" w:rsidRDefault="00A72596" w:rsidP="00A72596">
      <w:pPr>
        <w:outlineLvl w:val="0"/>
        <w:rPr>
          <w:rFonts w:ascii="Palatino" w:hAnsi="Palatino" w:cstheme="majorHAnsi"/>
          <w:b/>
          <w:szCs w:val="24"/>
        </w:rPr>
      </w:pPr>
      <w:r w:rsidRPr="009B7E35">
        <w:rPr>
          <w:rFonts w:ascii="Palatino" w:hAnsi="Palatino" w:cstheme="majorHAnsi"/>
          <w:b/>
          <w:szCs w:val="24"/>
        </w:rPr>
        <w:t>6. Social exclusion</w:t>
      </w:r>
    </w:p>
    <w:p w14:paraId="31EF994E" w14:textId="77777777" w:rsidR="00A72596" w:rsidRPr="008C14CE" w:rsidRDefault="00A72596" w:rsidP="00A72596">
      <w:pPr>
        <w:outlineLvl w:val="0"/>
        <w:rPr>
          <w:rFonts w:ascii="Palatino" w:hAnsi="Palatino" w:cstheme="majorHAnsi"/>
          <w:b/>
          <w:szCs w:val="24"/>
        </w:rPr>
      </w:pPr>
      <w:r w:rsidRPr="008C14CE">
        <w:rPr>
          <w:rFonts w:ascii="Palatino" w:hAnsi="Palatino" w:cstheme="majorHAnsi"/>
          <w:b/>
          <w:szCs w:val="24"/>
        </w:rPr>
        <w:t>7. Policy responses</w:t>
      </w:r>
    </w:p>
    <w:p w14:paraId="4FD90BB1" w14:textId="77777777" w:rsidR="00A72596" w:rsidRDefault="00A72596" w:rsidP="00A72596">
      <w:pPr>
        <w:outlineLvl w:val="0"/>
        <w:rPr>
          <w:rFonts w:ascii="Palatino" w:hAnsi="Palatino" w:cstheme="majorHAnsi"/>
          <w:b/>
          <w:szCs w:val="24"/>
        </w:rPr>
      </w:pPr>
      <w:r w:rsidRPr="00A72596">
        <w:rPr>
          <w:rFonts w:ascii="Palatino" w:hAnsi="Palatino" w:cstheme="majorHAnsi"/>
          <w:b/>
          <w:szCs w:val="24"/>
        </w:rPr>
        <w:t>8. Conclusion</w:t>
      </w:r>
    </w:p>
    <w:p w14:paraId="54A274A5" w14:textId="77777777" w:rsidR="00A72596" w:rsidRPr="00A72596" w:rsidRDefault="00A72596" w:rsidP="00A72596">
      <w:pPr>
        <w:outlineLvl w:val="0"/>
        <w:rPr>
          <w:rFonts w:ascii="Palatino" w:hAnsi="Palatino" w:cstheme="majorHAnsi"/>
          <w:b/>
          <w:szCs w:val="24"/>
        </w:rPr>
      </w:pPr>
    </w:p>
    <w:p w14:paraId="7A5B8AC2" w14:textId="1E4C3DAD" w:rsidR="00A72596" w:rsidRPr="005D6C74" w:rsidRDefault="00A72596" w:rsidP="00A72596">
      <w:pPr>
        <w:rPr>
          <w:rFonts w:ascii="Palatino" w:hAnsi="Palatino" w:cstheme="majorHAnsi"/>
          <w:b/>
          <w:szCs w:val="24"/>
        </w:rPr>
      </w:pPr>
      <w:r w:rsidRPr="005D6C74">
        <w:rPr>
          <w:rFonts w:ascii="Palatino" w:hAnsi="Palatino" w:cstheme="majorHAnsi"/>
          <w:b/>
          <w:szCs w:val="24"/>
        </w:rPr>
        <w:t>Reference</w:t>
      </w:r>
    </w:p>
    <w:p w14:paraId="24E72180" w14:textId="77777777" w:rsidR="00A72596" w:rsidRPr="00CC0E09" w:rsidRDefault="00A72596" w:rsidP="00A72596">
      <w:pPr>
        <w:spacing w:line="276" w:lineRule="auto"/>
        <w:rPr>
          <w:rFonts w:ascii="Palatino" w:hAnsi="Palatino"/>
          <w:b/>
          <w:szCs w:val="24"/>
        </w:rPr>
      </w:pPr>
      <w:r w:rsidRPr="00CC0E09">
        <w:rPr>
          <w:rFonts w:ascii="Palatino" w:hAnsi="Palatino"/>
          <w:b/>
          <w:szCs w:val="24"/>
        </w:rPr>
        <w:t>Appendix</w:t>
      </w:r>
    </w:p>
    <w:p w14:paraId="51FCEA10" w14:textId="1AD20694" w:rsidR="00A72596" w:rsidRPr="00CC0E09" w:rsidRDefault="00A72596" w:rsidP="00A72596">
      <w:pPr>
        <w:spacing w:line="276" w:lineRule="auto"/>
        <w:rPr>
          <w:rFonts w:ascii="Palatino" w:hAnsi="Palatino"/>
          <w:b/>
          <w:sz w:val="22"/>
          <w:szCs w:val="22"/>
        </w:rPr>
      </w:pPr>
      <w:r w:rsidRPr="00CC0E09">
        <w:rPr>
          <w:rFonts w:ascii="Palatino" w:hAnsi="Palatino"/>
          <w:b/>
          <w:sz w:val="22"/>
          <w:szCs w:val="22"/>
        </w:rPr>
        <w:t xml:space="preserve">1 </w:t>
      </w:r>
      <w:proofErr w:type="spellStart"/>
      <w:r w:rsidRPr="00CC0E09">
        <w:rPr>
          <w:rFonts w:ascii="Palatino" w:hAnsi="Palatino"/>
          <w:b/>
          <w:i/>
          <w:sz w:val="22"/>
          <w:szCs w:val="22"/>
        </w:rPr>
        <w:t>Seikatu-hogo</w:t>
      </w:r>
      <w:proofErr w:type="spellEnd"/>
      <w:r>
        <w:rPr>
          <w:rFonts w:ascii="Palatino" w:hAnsi="Palatino"/>
          <w:b/>
          <w:i/>
          <w:sz w:val="22"/>
          <w:szCs w:val="22"/>
        </w:rPr>
        <w:t xml:space="preserve"> </w:t>
      </w:r>
      <w:r w:rsidRPr="00CC0E09">
        <w:rPr>
          <w:rFonts w:ascii="Palatino" w:hAnsi="Palatino"/>
          <w:b/>
          <w:sz w:val="22"/>
          <w:szCs w:val="22"/>
        </w:rPr>
        <w:t xml:space="preserve">(Social assistance) </w:t>
      </w:r>
    </w:p>
    <w:p w14:paraId="6EAC5B59" w14:textId="0EACEB78" w:rsidR="00A72596" w:rsidRPr="00CC0E09" w:rsidRDefault="00A72596" w:rsidP="00A72596">
      <w:pPr>
        <w:spacing w:line="276" w:lineRule="auto"/>
        <w:rPr>
          <w:rFonts w:ascii="Palatino" w:hAnsi="Palatino"/>
          <w:b/>
          <w:sz w:val="22"/>
          <w:szCs w:val="22"/>
        </w:rPr>
      </w:pPr>
      <w:r>
        <w:rPr>
          <w:rFonts w:ascii="Palatino" w:hAnsi="Palatino"/>
          <w:b/>
          <w:sz w:val="22"/>
          <w:szCs w:val="22"/>
        </w:rPr>
        <w:t>2 M</w:t>
      </w:r>
      <w:r w:rsidRPr="00CC0E09">
        <w:rPr>
          <w:rFonts w:ascii="Palatino" w:hAnsi="Palatino"/>
          <w:b/>
          <w:sz w:val="22"/>
          <w:szCs w:val="22"/>
        </w:rPr>
        <w:t>inimum wage system</w:t>
      </w:r>
    </w:p>
    <w:p w14:paraId="653968FB" w14:textId="77777777" w:rsidR="00A72596" w:rsidRPr="00CC0E09" w:rsidRDefault="00A72596" w:rsidP="00A72596">
      <w:pPr>
        <w:spacing w:line="276" w:lineRule="auto"/>
        <w:rPr>
          <w:rFonts w:ascii="Palatino" w:hAnsi="Palatino"/>
          <w:b/>
          <w:sz w:val="22"/>
          <w:szCs w:val="22"/>
        </w:rPr>
      </w:pPr>
      <w:r w:rsidRPr="00CC0E09">
        <w:rPr>
          <w:rFonts w:ascii="Palatino" w:hAnsi="Palatino"/>
          <w:b/>
          <w:sz w:val="22"/>
          <w:szCs w:val="22"/>
        </w:rPr>
        <w:t>3 Employment Insurance (unemployment benefit)</w:t>
      </w:r>
    </w:p>
    <w:p w14:paraId="667D4491" w14:textId="06532726" w:rsidR="00A72596" w:rsidRPr="00757989" w:rsidRDefault="00A72596" w:rsidP="00A72596">
      <w:pPr>
        <w:spacing w:line="276" w:lineRule="auto"/>
        <w:rPr>
          <w:rFonts w:ascii="Palatino" w:hAnsi="Palatino"/>
          <w:b/>
          <w:sz w:val="22"/>
          <w:szCs w:val="22"/>
        </w:rPr>
      </w:pPr>
      <w:r w:rsidRPr="00757989">
        <w:rPr>
          <w:rFonts w:ascii="Palatino" w:hAnsi="Palatino"/>
          <w:b/>
          <w:sz w:val="22"/>
          <w:szCs w:val="22"/>
        </w:rPr>
        <w:t xml:space="preserve">4 Jobseeker’s support Act </w:t>
      </w:r>
    </w:p>
    <w:p w14:paraId="6EBC5147" w14:textId="77777777" w:rsidR="00A72596" w:rsidRDefault="00A72596" w:rsidP="00A72596"/>
    <w:p w14:paraId="3F1185F1" w14:textId="77777777" w:rsidR="00A72596" w:rsidRDefault="00A72596" w:rsidP="00A72596"/>
    <w:p w14:paraId="6DE6E87E" w14:textId="77777777" w:rsidR="00A72596" w:rsidRDefault="00A72596" w:rsidP="00A72596"/>
    <w:p w14:paraId="00BB4EC9" w14:textId="5DDD55CC" w:rsidR="005432C2" w:rsidRPr="00A72596" w:rsidRDefault="00A72596" w:rsidP="00A72596">
      <w:r>
        <w:t xml:space="preserve"> </w:t>
      </w:r>
      <w:r w:rsidR="005432C2" w:rsidRPr="009B7E35">
        <w:rPr>
          <w:rFonts w:ascii="Palatino" w:hAnsi="Palatino" w:cstheme="majorHAnsi"/>
          <w:b/>
          <w:szCs w:val="24"/>
        </w:rPr>
        <w:t>1. Introduction</w:t>
      </w:r>
    </w:p>
    <w:p w14:paraId="2CCA1970" w14:textId="11C92EB4" w:rsidR="0023358F" w:rsidRPr="009B7E35" w:rsidRDefault="005432C2" w:rsidP="004679B3">
      <w:pPr>
        <w:rPr>
          <w:rFonts w:ascii="Palatino" w:hAnsi="Palatino" w:cstheme="majorHAnsi"/>
          <w:sz w:val="21"/>
          <w:szCs w:val="21"/>
        </w:rPr>
      </w:pPr>
      <w:r w:rsidRPr="009B7E35">
        <w:rPr>
          <w:rFonts w:ascii="Palatino" w:hAnsi="Palatino" w:cstheme="majorHAnsi"/>
          <w:sz w:val="21"/>
          <w:szCs w:val="21"/>
        </w:rPr>
        <w:t xml:space="preserve">    </w:t>
      </w:r>
      <w:r w:rsidR="004C3EB3">
        <w:rPr>
          <w:rFonts w:ascii="Palatino" w:hAnsi="Palatino" w:cstheme="majorHAnsi"/>
          <w:sz w:val="21"/>
          <w:szCs w:val="21"/>
        </w:rPr>
        <w:t>This</w:t>
      </w:r>
      <w:r w:rsidRPr="009B7E35">
        <w:rPr>
          <w:rFonts w:ascii="Palatino" w:hAnsi="Palatino" w:cstheme="majorHAnsi"/>
          <w:sz w:val="21"/>
          <w:szCs w:val="21"/>
        </w:rPr>
        <w:t xml:space="preserve"> introduction to the topic of poverty and social exclusion </w:t>
      </w:r>
      <w:r w:rsidR="004C3EB3">
        <w:rPr>
          <w:rFonts w:ascii="Palatino" w:hAnsi="Palatino" w:cstheme="majorHAnsi"/>
          <w:sz w:val="21"/>
          <w:szCs w:val="21"/>
        </w:rPr>
        <w:t>in contemporary Japan</w:t>
      </w:r>
      <w:r w:rsidRPr="009B7E35">
        <w:rPr>
          <w:rFonts w:ascii="Palatino" w:hAnsi="Palatino" w:cstheme="majorHAnsi"/>
          <w:sz w:val="21"/>
          <w:szCs w:val="21"/>
        </w:rPr>
        <w:t xml:space="preserve"> is intended primarily for British participants.</w:t>
      </w:r>
    </w:p>
    <w:p w14:paraId="1A039405" w14:textId="34BB2FB3" w:rsidR="007760CE" w:rsidRDefault="005432C2" w:rsidP="00383A7F">
      <w:pPr>
        <w:rPr>
          <w:rFonts w:ascii="Palatino" w:hAnsi="Palatino" w:cstheme="majorHAnsi"/>
          <w:sz w:val="21"/>
          <w:szCs w:val="21"/>
        </w:rPr>
      </w:pPr>
      <w:r w:rsidRPr="009B7E35">
        <w:rPr>
          <w:rFonts w:ascii="Palatino" w:hAnsi="Palatino" w:cstheme="majorHAnsi"/>
          <w:sz w:val="21"/>
          <w:szCs w:val="21"/>
        </w:rPr>
        <w:t xml:space="preserve">    First, </w:t>
      </w:r>
      <w:r w:rsidR="004C3EB3">
        <w:rPr>
          <w:rFonts w:ascii="Palatino" w:hAnsi="Palatino" w:cstheme="majorHAnsi"/>
          <w:sz w:val="21"/>
          <w:szCs w:val="21"/>
        </w:rPr>
        <w:t xml:space="preserve">the Figure 1 </w:t>
      </w:r>
      <w:r w:rsidRPr="009B7E35">
        <w:rPr>
          <w:rFonts w:ascii="Palatino" w:hAnsi="Palatino" w:cstheme="majorHAnsi"/>
          <w:sz w:val="21"/>
          <w:szCs w:val="21"/>
        </w:rPr>
        <w:t xml:space="preserve">shows the changes in the monthly average of the number of recipients of social assistance (referred to in Japanese as </w:t>
      </w:r>
      <w:proofErr w:type="spellStart"/>
      <w:r w:rsidRPr="009B7E35">
        <w:rPr>
          <w:rFonts w:ascii="Palatino" w:hAnsi="Palatino" w:cstheme="majorHAnsi"/>
          <w:i/>
          <w:sz w:val="21"/>
          <w:szCs w:val="21"/>
        </w:rPr>
        <w:t>Seikatu-hogo</w:t>
      </w:r>
      <w:proofErr w:type="spellEnd"/>
      <w:r w:rsidRPr="009B7E35">
        <w:rPr>
          <w:rFonts w:ascii="Palatino" w:hAnsi="Palatino" w:cstheme="majorHAnsi"/>
          <w:sz w:val="21"/>
          <w:szCs w:val="21"/>
        </w:rPr>
        <w:t xml:space="preserve">), and the ratio of these recipients to the total population (or </w:t>
      </w:r>
      <w:r w:rsidR="00F21521">
        <w:rPr>
          <w:rFonts w:ascii="Palatino" w:hAnsi="Palatino" w:cstheme="majorHAnsi"/>
          <w:i/>
          <w:sz w:val="21"/>
          <w:szCs w:val="21"/>
        </w:rPr>
        <w:t xml:space="preserve"> </w:t>
      </w:r>
      <w:proofErr w:type="spellStart"/>
      <w:r w:rsidR="00F21521">
        <w:rPr>
          <w:rFonts w:ascii="Palatino" w:hAnsi="Palatino" w:cstheme="majorHAnsi"/>
          <w:i/>
          <w:sz w:val="21"/>
          <w:szCs w:val="21"/>
        </w:rPr>
        <w:t>Hogo</w:t>
      </w:r>
      <w:proofErr w:type="spellEnd"/>
      <w:r w:rsidRPr="009B7E35">
        <w:rPr>
          <w:rFonts w:ascii="Palatino" w:hAnsi="Palatino" w:cstheme="majorHAnsi"/>
          <w:i/>
          <w:sz w:val="21"/>
          <w:szCs w:val="21"/>
        </w:rPr>
        <w:t xml:space="preserve"> </w:t>
      </w:r>
      <w:r w:rsidRPr="009B7E35">
        <w:rPr>
          <w:rFonts w:ascii="Palatino" w:hAnsi="Palatino" w:cstheme="majorHAnsi"/>
          <w:sz w:val="21"/>
          <w:szCs w:val="21"/>
        </w:rPr>
        <w:t xml:space="preserve">rate). You can see three distinct periods in this graph. </w:t>
      </w:r>
    </w:p>
    <w:p w14:paraId="6B4E07D9" w14:textId="295E0F1E" w:rsidR="007760CE" w:rsidRDefault="007760CE" w:rsidP="00383A7F">
      <w:pPr>
        <w:rPr>
          <w:rFonts w:ascii="Palatino" w:hAnsi="Palatino" w:cstheme="majorHAnsi"/>
          <w:sz w:val="21"/>
          <w:szCs w:val="21"/>
        </w:rPr>
      </w:pPr>
      <w:r>
        <w:rPr>
          <w:rFonts w:ascii="Palatino" w:hAnsi="Palatino" w:cstheme="majorHAnsi"/>
          <w:noProof/>
          <w:sz w:val="21"/>
          <w:szCs w:val="21"/>
        </w:rPr>
        <w:drawing>
          <wp:inline distT="0" distB="0" distL="0" distR="0" wp14:anchorId="1735D12D" wp14:editId="3100C2C1">
            <wp:extent cx="5939790" cy="460037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600370"/>
                    </a:xfrm>
                    <a:prstGeom prst="rect">
                      <a:avLst/>
                    </a:prstGeom>
                    <a:noFill/>
                    <a:ln>
                      <a:noFill/>
                    </a:ln>
                  </pic:spPr>
                </pic:pic>
              </a:graphicData>
            </a:graphic>
          </wp:inline>
        </w:drawing>
      </w:r>
    </w:p>
    <w:p w14:paraId="2B8FF403" w14:textId="77777777" w:rsidR="007760CE" w:rsidRDefault="007760CE" w:rsidP="00383A7F">
      <w:pPr>
        <w:rPr>
          <w:rFonts w:ascii="Palatino" w:hAnsi="Palatino" w:cstheme="majorHAnsi"/>
          <w:sz w:val="21"/>
          <w:szCs w:val="21"/>
        </w:rPr>
      </w:pPr>
    </w:p>
    <w:p w14:paraId="4C90EB62" w14:textId="77777777" w:rsidR="007760CE" w:rsidRDefault="007760CE" w:rsidP="00383A7F">
      <w:pPr>
        <w:rPr>
          <w:rFonts w:ascii="Palatino" w:hAnsi="Palatino" w:cstheme="majorHAnsi"/>
          <w:sz w:val="21"/>
          <w:szCs w:val="21"/>
        </w:rPr>
      </w:pPr>
    </w:p>
    <w:p w14:paraId="603E9BCD" w14:textId="053C3145" w:rsidR="005432C2" w:rsidRPr="009B7E35" w:rsidRDefault="007760CE"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The first period begins in 1951, the year after the current social assistance system was established, and ends in 1955. The second period is from 1956 to the mid-1990s, and the third period begins from the mid-1999s to the present. The first period contains approximately 2 million recipients, with a 20‰ (per mill) social assistance rate, which indicates prolonged post-war poverty. In the second period, the number of recipients and the social assistance rate steadily declined with some fluctuations, owing to rapid economic growth and the bubble economy. The third period indicates the transition time from the collapse of the bubble economy to long-term economic recession. In this period, the number of recipients and the social assistance rate increased significantly. Employment was sacrificed in an effort to emerge from recession, and the ripples of the global economic crisis increased the number of recipients to more than 2 million between 2008 and 2011, the same number as that in the first period. Naturally, being a mere 16‰, the social assistance rate was not as high as it was previously; however, the fact that the number of recipients rose to over 2 million was a shock to Japanese society. Furthermore, the poverty that reappeared in Japan in the third period was not the same as the post-war poverty seen during the first period. It was of a new and unprecedented type.</w:t>
      </w:r>
    </w:p>
    <w:p w14:paraId="5CEC0311" w14:textId="405C0F25" w:rsidR="005432C2" w:rsidRPr="009B7E35" w:rsidRDefault="005432C2" w:rsidP="00383A7F">
      <w:pPr>
        <w:rPr>
          <w:rFonts w:ascii="Palatino" w:hAnsi="Palatino" w:cstheme="majorHAnsi"/>
          <w:sz w:val="21"/>
          <w:szCs w:val="21"/>
        </w:rPr>
      </w:pPr>
      <w:r w:rsidRPr="009B7E35">
        <w:rPr>
          <w:rFonts w:ascii="Palatino" w:hAnsi="Palatino" w:cstheme="majorHAnsi"/>
          <w:sz w:val="21"/>
          <w:szCs w:val="21"/>
        </w:rPr>
        <w:t xml:space="preserve">   </w:t>
      </w:r>
      <w:r w:rsidR="004C3EB3">
        <w:rPr>
          <w:rFonts w:ascii="Palatino" w:hAnsi="Palatino" w:cstheme="majorHAnsi"/>
          <w:sz w:val="21"/>
          <w:szCs w:val="21"/>
        </w:rPr>
        <w:t xml:space="preserve"> </w:t>
      </w:r>
      <w:r w:rsidRPr="009B7E35">
        <w:rPr>
          <w:rFonts w:ascii="Palatino" w:hAnsi="Palatino" w:cstheme="majorHAnsi"/>
          <w:sz w:val="21"/>
          <w:szCs w:val="21"/>
        </w:rPr>
        <w:t xml:space="preserve">  Of course, the number of social assistance recipients or the social assistance rate is just the index used to measure poverty, and cannot provide a complete picture of poverty. However, the interest towards social assistance and the number of its recipients raises concerns regarding the overall poverty issues. In fact, poverty studies and poverty measurement in post-war Japan were subjects of intense study during the first and third periods. The word ‘poverty’ was all but forgotten during the second period, except for its rare mention in a few studies. However, this changed in the third period, with the re-emergence of poverty in Japan. In this presentation, I will focus on the third period in which the word ‘poverty’ reappeared.</w:t>
      </w:r>
    </w:p>
    <w:p w14:paraId="11489A31" w14:textId="77777777" w:rsidR="004C3EB3" w:rsidRPr="009B7E35" w:rsidRDefault="004C3EB3" w:rsidP="00383A7F">
      <w:pPr>
        <w:rPr>
          <w:rFonts w:ascii="Palatino" w:hAnsi="Palatino" w:cstheme="majorHAnsi"/>
          <w:sz w:val="21"/>
          <w:szCs w:val="21"/>
        </w:rPr>
      </w:pPr>
    </w:p>
    <w:p w14:paraId="3A671090" w14:textId="77777777" w:rsidR="005432C2" w:rsidRPr="009B7E35" w:rsidRDefault="005432C2" w:rsidP="00270C80">
      <w:pPr>
        <w:outlineLvl w:val="0"/>
        <w:rPr>
          <w:rFonts w:ascii="Palatino" w:hAnsi="Palatino" w:cstheme="majorHAnsi"/>
          <w:b/>
          <w:szCs w:val="24"/>
        </w:rPr>
      </w:pPr>
      <w:r w:rsidRPr="009B7E35">
        <w:rPr>
          <w:rFonts w:ascii="Palatino" w:hAnsi="Palatino" w:cstheme="majorHAnsi"/>
          <w:b/>
          <w:szCs w:val="24"/>
        </w:rPr>
        <w:t xml:space="preserve">2. The official definition of </w:t>
      </w:r>
      <w:r w:rsidR="00E056B1" w:rsidRPr="009B7E35">
        <w:rPr>
          <w:rFonts w:ascii="Palatino" w:hAnsi="Palatino" w:cstheme="majorHAnsi"/>
          <w:b/>
          <w:szCs w:val="24"/>
        </w:rPr>
        <w:t xml:space="preserve">‘poverty’ </w:t>
      </w:r>
      <w:r w:rsidRPr="009B7E35">
        <w:rPr>
          <w:rFonts w:ascii="Palatino" w:hAnsi="Palatino" w:cstheme="majorHAnsi"/>
          <w:b/>
          <w:szCs w:val="24"/>
        </w:rPr>
        <w:t xml:space="preserve">and ‘poverty measurement’ </w:t>
      </w:r>
    </w:p>
    <w:p w14:paraId="5A086BE2" w14:textId="77777777" w:rsidR="004C3EB3" w:rsidRDefault="005432C2" w:rsidP="00383A7F">
      <w:pPr>
        <w:rPr>
          <w:rFonts w:ascii="Palatino" w:hAnsi="Palatino" w:cstheme="majorHAnsi"/>
          <w:sz w:val="21"/>
          <w:szCs w:val="21"/>
        </w:rPr>
      </w:pPr>
      <w:r w:rsidRPr="009B7E35">
        <w:rPr>
          <w:rFonts w:ascii="Palatino" w:hAnsi="Palatino" w:cstheme="majorHAnsi"/>
          <w:sz w:val="21"/>
          <w:szCs w:val="21"/>
        </w:rPr>
        <w:t xml:space="preserve">   </w:t>
      </w:r>
      <w:r w:rsidR="004C3EB3">
        <w:rPr>
          <w:rFonts w:ascii="Palatino" w:hAnsi="Palatino" w:cstheme="majorHAnsi"/>
          <w:sz w:val="21"/>
          <w:szCs w:val="21"/>
        </w:rPr>
        <w:t xml:space="preserve">  </w:t>
      </w:r>
      <w:r w:rsidR="004C3EB3" w:rsidRPr="004C3EB3">
        <w:rPr>
          <w:rFonts w:ascii="Palatino" w:hAnsi="Palatino" w:cstheme="majorHAnsi"/>
          <w:sz w:val="21"/>
          <w:szCs w:val="21"/>
        </w:rPr>
        <w:t>Prior to an discussion of the poverty in the third  period,</w:t>
      </w:r>
      <w:r w:rsidRPr="009B7E35">
        <w:rPr>
          <w:rFonts w:ascii="Palatino" w:hAnsi="Palatino" w:cstheme="majorHAnsi"/>
          <w:sz w:val="21"/>
          <w:szCs w:val="21"/>
        </w:rPr>
        <w:t xml:space="preserve"> I will provide an overview of the official perspective of the Japanese government on poverty. The Japanese government officially defined poverty just once, in the Annual Report on Health and Welfare, which was published in 1957. This report defined poverty as a state in which ‘one cannot secure the minimum cost of living’. Article 25 of the Constitution of Japan specifies the minimum cost of living as the ability to secure ‘a minimum level of healthy and cultured living’. </w:t>
      </w:r>
      <w:r w:rsidR="004C3EB3">
        <w:rPr>
          <w:rFonts w:ascii="Palatino" w:hAnsi="Palatino" w:cstheme="majorHAnsi"/>
          <w:sz w:val="21"/>
          <w:szCs w:val="21"/>
        </w:rPr>
        <w:t xml:space="preserve">    </w:t>
      </w:r>
    </w:p>
    <w:p w14:paraId="3F7A5ED9" w14:textId="77777777" w:rsidR="004C3EB3" w:rsidRDefault="004C3EB3"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To provide a more detailed explanation of this vague provision, two standards were used to describe the minimum cost of living: </w:t>
      </w:r>
    </w:p>
    <w:p w14:paraId="2F759350" w14:textId="68C16695" w:rsidR="004C3EB3" w:rsidRDefault="004C3EB3" w:rsidP="00383A7F">
      <w:pPr>
        <w:rPr>
          <w:rFonts w:ascii="Palatino" w:hAnsi="Palatino" w:cstheme="majorHAnsi"/>
          <w:sz w:val="21"/>
          <w:szCs w:val="21"/>
        </w:rPr>
      </w:pPr>
      <w:r>
        <w:rPr>
          <w:rFonts w:ascii="Palatino" w:hAnsi="Palatino" w:cstheme="majorHAnsi"/>
          <w:sz w:val="21"/>
          <w:szCs w:val="21"/>
        </w:rPr>
        <w:t>(1) the</w:t>
      </w:r>
      <w:r w:rsidR="005432C2" w:rsidRPr="009B7E35">
        <w:rPr>
          <w:rFonts w:ascii="Palatino" w:hAnsi="Palatino" w:cstheme="majorHAnsi"/>
          <w:sz w:val="21"/>
          <w:szCs w:val="21"/>
        </w:rPr>
        <w:t xml:space="preserve"> first is minimum wage, which represents the minimum standard of living of workers; </w:t>
      </w:r>
    </w:p>
    <w:p w14:paraId="5E89622E" w14:textId="77777777" w:rsidR="004C3EB3" w:rsidRDefault="004C3EB3" w:rsidP="00383A7F">
      <w:pPr>
        <w:rPr>
          <w:rFonts w:ascii="Palatino" w:hAnsi="Palatino" w:cstheme="majorHAnsi"/>
          <w:sz w:val="21"/>
          <w:szCs w:val="21"/>
        </w:rPr>
      </w:pPr>
      <w:r>
        <w:rPr>
          <w:rFonts w:ascii="Palatino" w:hAnsi="Palatino" w:cstheme="majorHAnsi"/>
          <w:sz w:val="21"/>
          <w:szCs w:val="21"/>
        </w:rPr>
        <w:t xml:space="preserve">(2) </w:t>
      </w:r>
      <w:r w:rsidR="005432C2" w:rsidRPr="009B7E35">
        <w:rPr>
          <w:rFonts w:ascii="Palatino" w:hAnsi="Palatino" w:cstheme="majorHAnsi"/>
          <w:sz w:val="21"/>
          <w:szCs w:val="21"/>
        </w:rPr>
        <w:t>the second is social assistance</w:t>
      </w:r>
      <w:r w:rsidR="00EB57D7" w:rsidRPr="009B7E35">
        <w:rPr>
          <w:rFonts w:ascii="Palatino" w:hAnsi="Palatino" w:cstheme="majorHAnsi"/>
          <w:sz w:val="21"/>
          <w:szCs w:val="21"/>
        </w:rPr>
        <w:endnoteReference w:id="1"/>
      </w:r>
      <w:r w:rsidR="00EB57D7" w:rsidRPr="009B7E35">
        <w:rPr>
          <w:rFonts w:ascii="Palatino" w:hAnsi="Palatino" w:cstheme="majorHAnsi"/>
          <w:sz w:val="21"/>
          <w:szCs w:val="21"/>
        </w:rPr>
        <w:t xml:space="preserve"> </w:t>
      </w:r>
      <w:r w:rsidR="005432C2" w:rsidRPr="009B7E35">
        <w:rPr>
          <w:rFonts w:ascii="Palatino" w:hAnsi="Palatino" w:cstheme="majorHAnsi"/>
          <w:sz w:val="21"/>
          <w:szCs w:val="21"/>
        </w:rPr>
        <w:t xml:space="preserve">level, which represents the minimum standard of living of non-working consumers </w:t>
      </w:r>
      <w:r>
        <w:rPr>
          <w:rFonts w:ascii="Palatino" w:hAnsi="Palatino" w:cstheme="majorHAnsi"/>
          <w:sz w:val="21"/>
          <w:szCs w:val="21"/>
        </w:rPr>
        <w:t>.</w:t>
      </w:r>
    </w:p>
    <w:p w14:paraId="1EF348A5" w14:textId="2729AED5" w:rsidR="005432C2" w:rsidRPr="009B7E35" w:rsidRDefault="004C3EB3"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(Annual Report on Health and Welfare 1957).</w:t>
      </w:r>
    </w:p>
    <w:p w14:paraId="76369DBB" w14:textId="0C21ACEA" w:rsidR="005432C2" w:rsidRPr="009B7E35" w:rsidRDefault="005432C2" w:rsidP="00383A7F">
      <w:pPr>
        <w:rPr>
          <w:rFonts w:ascii="Palatino" w:hAnsi="Palatino" w:cstheme="majorHAnsi"/>
          <w:sz w:val="21"/>
          <w:szCs w:val="21"/>
        </w:rPr>
      </w:pPr>
      <w:r w:rsidRPr="009B7E35">
        <w:rPr>
          <w:rFonts w:ascii="Palatino" w:hAnsi="Palatino" w:cstheme="majorHAnsi"/>
          <w:sz w:val="21"/>
          <w:szCs w:val="21"/>
        </w:rPr>
        <w:t xml:space="preserve">    The Minimum Wage Act was adopted in 1959 in Japan, and the regional minimum wage applies to workers in all regions. The regional minimum wage is presented as a regional standard, and is determined by the Central Minimum Wages Council by considering not only the minimum standard of living of workers but also the market wages and employers’ payment capability. Hence, the minimum wage in some regions worked out to be less than the social assistance level.</w:t>
      </w:r>
    </w:p>
    <w:p w14:paraId="284E0D31" w14:textId="0524EEDC" w:rsidR="005432C2" w:rsidRPr="009B7E35" w:rsidRDefault="000C06C6" w:rsidP="00383A7F">
      <w:pPr>
        <w:rPr>
          <w:rFonts w:ascii="Palatino" w:hAnsi="Palatino" w:cstheme="majorHAnsi"/>
          <w:sz w:val="21"/>
          <w:szCs w:val="21"/>
        </w:rPr>
      </w:pPr>
      <w:r w:rsidRPr="009B7E35">
        <w:rPr>
          <w:rFonts w:ascii="Palatino" w:hAnsi="Palatino" w:cstheme="majorHAnsi"/>
          <w:sz w:val="21"/>
          <w:szCs w:val="21"/>
        </w:rPr>
        <w:t xml:space="preserve">   </w:t>
      </w:r>
      <w:r w:rsidR="004C3EB3">
        <w:rPr>
          <w:rFonts w:ascii="Palatino" w:hAnsi="Palatino" w:cstheme="majorHAnsi"/>
          <w:sz w:val="21"/>
          <w:szCs w:val="21"/>
        </w:rPr>
        <w:t xml:space="preserve">   </w:t>
      </w:r>
      <w:r w:rsidR="005432C2" w:rsidRPr="009B7E35">
        <w:rPr>
          <w:rFonts w:ascii="Palatino" w:hAnsi="Palatino" w:cstheme="majorHAnsi"/>
          <w:sz w:val="21"/>
          <w:szCs w:val="21"/>
        </w:rPr>
        <w:t>This left the social assistance level as the only poverty standard</w:t>
      </w:r>
      <w:r w:rsidRPr="009B7E35">
        <w:rPr>
          <w:rFonts w:ascii="Palatino" w:hAnsi="Palatino" w:cstheme="majorHAnsi"/>
          <w:sz w:val="21"/>
          <w:szCs w:val="21"/>
        </w:rPr>
        <w:t xml:space="preserve"> </w:t>
      </w:r>
      <w:r w:rsidR="005432C2" w:rsidRPr="009B7E35">
        <w:rPr>
          <w:rFonts w:ascii="Palatino" w:hAnsi="Palatino" w:cstheme="majorHAnsi"/>
          <w:sz w:val="21"/>
          <w:szCs w:val="21"/>
        </w:rPr>
        <w:t>which could be employed realistically. In 1948, the social assistance level was determined by calculating the minimum cost of living by using the minimum basket-of-goods approach. Since 1965, this level has been repeatedly amended with the intention of closing the gap with ordinary households. However, in 1984, the assistance level was approximately 60% of the consumption level of ordinary households, and this level has been maintained to date.</w:t>
      </w:r>
    </w:p>
    <w:p w14:paraId="20BBE3E3" w14:textId="21FFB3B3" w:rsidR="004C3EB3" w:rsidRDefault="004C3EB3"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Moreover, only a handful of studies have tried to measure poverty using the social assistance level, or by comprehending the social assistance take-up rate. In the first period, in addition to the social assistance level, the Japanese government estimated the number of households at or below the low-income level that skimmed just above the social assistance level, that is, households on the borderline. However, later in the second period, drawing an equation between households living in poverty and those receiving social assistance became increasingly popular.</w:t>
      </w:r>
    </w:p>
    <w:p w14:paraId="63446511" w14:textId="31EE1F89" w:rsidR="005432C2" w:rsidRPr="009B7E35" w:rsidRDefault="004C3EB3" w:rsidP="00383A7F">
      <w:pPr>
        <w:rPr>
          <w:rFonts w:ascii="Palatino" w:hAnsi="Palatino" w:cstheme="majorHAnsi"/>
          <w:sz w:val="21"/>
          <w:szCs w:val="21"/>
        </w:rPr>
      </w:pPr>
      <w:r>
        <w:rPr>
          <w:rFonts w:ascii="Palatino" w:hAnsi="Palatino" w:cstheme="majorHAnsi"/>
          <w:sz w:val="21"/>
          <w:szCs w:val="21"/>
        </w:rPr>
        <w:t xml:space="preserve">       </w:t>
      </w:r>
      <w:r w:rsidR="000C06C6" w:rsidRPr="009B7E35">
        <w:rPr>
          <w:rFonts w:ascii="Palatino" w:hAnsi="Palatino" w:cstheme="majorHAnsi"/>
          <w:sz w:val="21"/>
          <w:szCs w:val="21"/>
        </w:rPr>
        <w:t xml:space="preserve"> </w:t>
      </w:r>
      <w:r w:rsidR="005432C2" w:rsidRPr="009B7E35">
        <w:rPr>
          <w:rFonts w:ascii="Palatino" w:hAnsi="Palatino" w:cstheme="majorHAnsi"/>
          <w:sz w:val="21"/>
          <w:szCs w:val="21"/>
        </w:rPr>
        <w:t>The government altered this stance only recently, thanks to the anti-poverty movement that gained momentum from 2007 onwards. First, the revision to the Minimum Wage Act in 2007 clearly stated that the minimum wage must be consistent with the social assistance level. In addition, the Democratic Party of Japan (DPJ), which emerged as the ruling party in 2009, focused on securing a national minimum wage and calculated the relative poverty rate by using the poverty line marked by 50% of the median equivalent income. The results were published in 2010, as shown in Figure 2. As you can see here, the poverty rate in 2009 was 16%, approximately 10 times the social assistance rate. Households with children, particularly single-parent households—that the DPJ emphasizes on helping—suffer from a high poverty rate. As shown in Figure 3, both nominal and actual poverty lines have declined from 1997 onwards; however, note that the overall poverty rate continued to increase.</w:t>
      </w:r>
    </w:p>
    <w:p w14:paraId="76F75754" w14:textId="0F354B5B" w:rsidR="007760CE" w:rsidRDefault="003C0845" w:rsidP="00383A7F">
      <w:pPr>
        <w:rPr>
          <w:rFonts w:ascii="Palatino" w:hAnsi="Palatino" w:cstheme="majorHAnsi"/>
          <w:sz w:val="21"/>
          <w:szCs w:val="21"/>
        </w:rPr>
      </w:pPr>
      <w:r>
        <w:rPr>
          <w:rFonts w:ascii="Palatino" w:hAnsi="Palatino" w:cstheme="majorHAnsi"/>
          <w:sz w:val="21"/>
          <w:szCs w:val="21"/>
        </w:rPr>
        <w:t xml:space="preserve">      </w:t>
      </w:r>
      <w:r w:rsidR="009F6434">
        <w:rPr>
          <w:rFonts w:ascii="Palatino" w:hAnsi="Palatino" w:cstheme="majorHAnsi"/>
          <w:noProof/>
          <w:sz w:val="21"/>
          <w:szCs w:val="21"/>
        </w:rPr>
        <w:drawing>
          <wp:inline distT="0" distB="0" distL="0" distR="0" wp14:anchorId="4CD24B8E" wp14:editId="1C3188FC">
            <wp:extent cx="5389245" cy="340828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245" cy="3408288"/>
                    </a:xfrm>
                    <a:prstGeom prst="rect">
                      <a:avLst/>
                    </a:prstGeom>
                    <a:noFill/>
                    <a:ln>
                      <a:noFill/>
                    </a:ln>
                  </pic:spPr>
                </pic:pic>
              </a:graphicData>
            </a:graphic>
          </wp:inline>
        </w:drawing>
      </w:r>
      <w:r>
        <w:rPr>
          <w:rFonts w:ascii="Palatino" w:hAnsi="Palatino" w:cstheme="majorHAnsi"/>
          <w:sz w:val="21"/>
          <w:szCs w:val="21"/>
        </w:rPr>
        <w:t xml:space="preserve">  </w:t>
      </w:r>
    </w:p>
    <w:p w14:paraId="2C87ED32" w14:textId="6E1D70DD" w:rsidR="007760CE" w:rsidRDefault="009F6434" w:rsidP="00383A7F">
      <w:pPr>
        <w:rPr>
          <w:rFonts w:ascii="Palatino" w:hAnsi="Palatino" w:cstheme="majorHAnsi"/>
          <w:sz w:val="21"/>
          <w:szCs w:val="21"/>
        </w:rPr>
      </w:pPr>
      <w:r>
        <w:rPr>
          <w:rFonts w:ascii="Palatino" w:hAnsi="Palatino" w:cstheme="majorHAnsi"/>
          <w:noProof/>
          <w:sz w:val="21"/>
          <w:szCs w:val="21"/>
        </w:rPr>
        <w:t xml:space="preserve">                     </w:t>
      </w:r>
      <w:r>
        <w:rPr>
          <w:rFonts w:ascii="Palatino" w:hAnsi="Palatino" w:cstheme="majorHAnsi"/>
          <w:noProof/>
          <w:sz w:val="21"/>
          <w:szCs w:val="21"/>
        </w:rPr>
        <w:drawing>
          <wp:inline distT="0" distB="0" distL="0" distR="0" wp14:anchorId="5B14C8A8" wp14:editId="1B2ED13A">
            <wp:extent cx="4562475" cy="300609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3006090"/>
                    </a:xfrm>
                    <a:prstGeom prst="rect">
                      <a:avLst/>
                    </a:prstGeom>
                    <a:noFill/>
                    <a:ln>
                      <a:noFill/>
                    </a:ln>
                  </pic:spPr>
                </pic:pic>
              </a:graphicData>
            </a:graphic>
          </wp:inline>
        </w:drawing>
      </w:r>
    </w:p>
    <w:p w14:paraId="75A35E7E" w14:textId="77777777" w:rsidR="007760CE" w:rsidRDefault="007760CE" w:rsidP="00383A7F">
      <w:pPr>
        <w:rPr>
          <w:rFonts w:ascii="Palatino" w:hAnsi="Palatino" w:cstheme="majorHAnsi"/>
          <w:sz w:val="21"/>
          <w:szCs w:val="21"/>
        </w:rPr>
      </w:pPr>
    </w:p>
    <w:p w14:paraId="51E623E7" w14:textId="247F4ACE" w:rsidR="005432C2" w:rsidRPr="009B7E35" w:rsidRDefault="007760CE"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With regard to the relative poverty rate, government-affiliated research institutions have been voluntarily providing data to the Organization for Economic Co-operation and Development (also known as OECD), which as you know publishes comparable statistics on a wide range of subjects. Their reports are also covered by the mass media. A few researchers have reported results by using the median equivalent income data from the 1980s and 1990s. I will return to this point later. However, this was the first official report provided by the government. In addition, it is unclear whether the government acknowledged this relative poverty rate as the official poverty rate. </w:t>
      </w:r>
    </w:p>
    <w:p w14:paraId="0D74282B" w14:textId="3C35BE1B" w:rsidR="009F6434" w:rsidRDefault="003C0845"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Furthermore, the government has announced the take-up rate and poverty measurement by using the social assistance level as the poverty line. The result is shown in </w:t>
      </w:r>
      <w:r w:rsidR="00644B2B">
        <w:rPr>
          <w:rFonts w:ascii="Palatino" w:hAnsi="Palatino" w:cstheme="majorHAnsi"/>
          <w:sz w:val="21"/>
          <w:szCs w:val="21"/>
        </w:rPr>
        <w:t>Table 1</w:t>
      </w:r>
      <w:r w:rsidR="005432C2" w:rsidRPr="009B7E35">
        <w:rPr>
          <w:rFonts w:ascii="Palatino" w:hAnsi="Palatino" w:cstheme="majorHAnsi"/>
          <w:sz w:val="21"/>
          <w:szCs w:val="21"/>
        </w:rPr>
        <w:t>.</w:t>
      </w:r>
    </w:p>
    <w:p w14:paraId="2037BAC9" w14:textId="310C7441" w:rsidR="00644B2B" w:rsidRPr="009F6434" w:rsidRDefault="00644B2B" w:rsidP="00644B2B">
      <w:pPr>
        <w:spacing w:line="240" w:lineRule="atLeast"/>
        <w:rPr>
          <w:rFonts w:ascii="Palatino" w:hAnsi="Palatino" w:cstheme="majorHAnsi"/>
          <w:b/>
          <w:sz w:val="20"/>
        </w:rPr>
      </w:pPr>
      <w:r w:rsidRPr="00644B2B">
        <w:rPr>
          <w:rFonts w:ascii="Palatino" w:hAnsi="Palatino" w:cstheme="majorHAnsi"/>
          <w:b/>
          <w:sz w:val="21"/>
          <w:szCs w:val="21"/>
        </w:rPr>
        <w:t xml:space="preserve">Table1 </w:t>
      </w:r>
      <w:r w:rsidRPr="009F6434">
        <w:rPr>
          <w:rFonts w:ascii="Palatino" w:hAnsi="Palatino" w:cstheme="majorHAnsi"/>
          <w:b/>
          <w:sz w:val="20"/>
        </w:rPr>
        <w:t xml:space="preserve">The rate of low income households under </w:t>
      </w:r>
      <w:proofErr w:type="spellStart"/>
      <w:r w:rsidRPr="009F6434">
        <w:rPr>
          <w:rFonts w:ascii="Palatino" w:hAnsi="Palatino" w:cstheme="majorHAnsi"/>
          <w:b/>
          <w:sz w:val="20"/>
        </w:rPr>
        <w:t>theSeikatsu-hogo</w:t>
      </w:r>
      <w:proofErr w:type="spellEnd"/>
      <w:r w:rsidRPr="009F6434">
        <w:rPr>
          <w:rFonts w:ascii="Palatino" w:hAnsi="Palatino" w:cstheme="majorHAnsi"/>
          <w:b/>
          <w:sz w:val="20"/>
        </w:rPr>
        <w:t xml:space="preserve">   </w:t>
      </w:r>
      <w:r w:rsidRPr="009F6434">
        <w:rPr>
          <w:rFonts w:ascii="Palatino" w:hAnsi="Palatino" w:cstheme="majorHAnsi"/>
          <w:b/>
          <w:sz w:val="20"/>
        </w:rPr>
        <w:br/>
        <w:t xml:space="preserve"> standard and take-up rate of the </w:t>
      </w:r>
      <w:proofErr w:type="spellStart"/>
      <w:r w:rsidRPr="009F6434">
        <w:rPr>
          <w:rFonts w:ascii="Palatino" w:hAnsi="Palatino" w:cstheme="majorHAnsi"/>
          <w:b/>
          <w:sz w:val="20"/>
        </w:rPr>
        <w:t>Seikatsu-hogo</w:t>
      </w:r>
      <w:proofErr w:type="spellEnd"/>
    </w:p>
    <w:p w14:paraId="74CA33B0" w14:textId="5F9280FA" w:rsidR="00644B2B" w:rsidRDefault="00644B2B" w:rsidP="00383A7F">
      <w:pPr>
        <w:rPr>
          <w:rFonts w:ascii="Palatino" w:hAnsi="Palatino" w:cstheme="majorHAnsi"/>
          <w:sz w:val="21"/>
          <w:szCs w:val="21"/>
        </w:rPr>
      </w:pPr>
      <w:r w:rsidRPr="00644B2B">
        <w:rPr>
          <w:rFonts w:ascii="Palatino" w:hAnsi="Palatino" w:cstheme="majorHAnsi"/>
          <w:noProof/>
          <w:sz w:val="21"/>
          <w:szCs w:val="21"/>
        </w:rPr>
        <w:drawing>
          <wp:inline distT="0" distB="0" distL="0" distR="0" wp14:anchorId="63103A23" wp14:editId="2E5E9C0F">
            <wp:extent cx="5939790" cy="22451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245186"/>
                    </a:xfrm>
                    <a:prstGeom prst="rect">
                      <a:avLst/>
                    </a:prstGeom>
                    <a:noFill/>
                    <a:ln>
                      <a:noFill/>
                    </a:ln>
                  </pic:spPr>
                </pic:pic>
              </a:graphicData>
            </a:graphic>
          </wp:inline>
        </w:drawing>
      </w:r>
    </w:p>
    <w:p w14:paraId="0C2DE86B" w14:textId="77777777" w:rsidR="00644B2B" w:rsidRDefault="00644B2B" w:rsidP="00383A7F">
      <w:pPr>
        <w:rPr>
          <w:rFonts w:ascii="Palatino" w:hAnsi="Palatino" w:cstheme="majorHAnsi"/>
          <w:sz w:val="21"/>
          <w:szCs w:val="21"/>
        </w:rPr>
      </w:pPr>
    </w:p>
    <w:p w14:paraId="04FC2FE3" w14:textId="5FF13144" w:rsidR="005432C2" w:rsidRDefault="005432C2" w:rsidP="00383A7F">
      <w:pPr>
        <w:rPr>
          <w:rFonts w:ascii="Palatino" w:hAnsi="Palatino" w:cstheme="majorHAnsi"/>
          <w:sz w:val="21"/>
          <w:szCs w:val="21"/>
        </w:rPr>
      </w:pPr>
      <w:r w:rsidRPr="009B7E35">
        <w:rPr>
          <w:rFonts w:ascii="Palatino" w:hAnsi="Palatino" w:cstheme="majorHAnsi"/>
          <w:sz w:val="21"/>
          <w:szCs w:val="21"/>
        </w:rPr>
        <w:t>The administrative department responsible for handling issues pertaining to social assistance avoids using the terms ‘poverty rate’ and ‘take-up rate’, and instead uses ‘low-income household rate’ and ‘the ratio of social assistance recipient households to low-income households at or below the social assistance level’, respectively. Depending on the data source and the incorporation of a means test, the low-income household rate and take-up rate are now represented by</w:t>
      </w:r>
      <w:r w:rsidR="003C0845">
        <w:rPr>
          <w:rFonts w:ascii="Palatino" w:hAnsi="Palatino" w:cstheme="majorHAnsi"/>
          <w:sz w:val="21"/>
          <w:szCs w:val="21"/>
        </w:rPr>
        <w:t xml:space="preserve"> twelve</w:t>
      </w:r>
      <w:r w:rsidRPr="009B7E35">
        <w:rPr>
          <w:rFonts w:ascii="Palatino" w:hAnsi="Palatino" w:cstheme="majorHAnsi"/>
          <w:sz w:val="21"/>
          <w:szCs w:val="21"/>
        </w:rPr>
        <w:t xml:space="preserve"> different figures. These </w:t>
      </w:r>
      <w:r w:rsidR="003C0845">
        <w:rPr>
          <w:rFonts w:ascii="Palatino" w:hAnsi="Palatino" w:cstheme="majorHAnsi"/>
          <w:sz w:val="21"/>
          <w:szCs w:val="21"/>
        </w:rPr>
        <w:t xml:space="preserve">twelve </w:t>
      </w:r>
      <w:r w:rsidRPr="009B7E35">
        <w:rPr>
          <w:rFonts w:ascii="Palatino" w:hAnsi="Palatino" w:cstheme="majorHAnsi"/>
          <w:sz w:val="21"/>
          <w:szCs w:val="21"/>
        </w:rPr>
        <w:t xml:space="preserve">figures, all higher than the social assistance rate, have mystified anti-poverty movement bodies and the general public. </w:t>
      </w:r>
    </w:p>
    <w:p w14:paraId="5C356629" w14:textId="77777777" w:rsidR="004C3EB3" w:rsidRDefault="004C3EB3" w:rsidP="00383A7F">
      <w:pPr>
        <w:rPr>
          <w:rFonts w:ascii="Palatino" w:hAnsi="Palatino" w:cstheme="majorHAnsi"/>
          <w:sz w:val="21"/>
          <w:szCs w:val="21"/>
        </w:rPr>
      </w:pPr>
    </w:p>
    <w:p w14:paraId="59C5B835" w14:textId="77777777" w:rsidR="005432C2" w:rsidRPr="00BA0407" w:rsidRDefault="005432C2" w:rsidP="00270C80">
      <w:pPr>
        <w:outlineLvl w:val="0"/>
        <w:rPr>
          <w:rFonts w:ascii="Palatino" w:hAnsi="Palatino" w:cstheme="majorHAnsi"/>
          <w:b/>
          <w:szCs w:val="24"/>
        </w:rPr>
      </w:pPr>
      <w:r w:rsidRPr="00BA0407">
        <w:rPr>
          <w:rFonts w:ascii="Palatino" w:hAnsi="Palatino" w:cstheme="majorHAnsi"/>
          <w:b/>
          <w:szCs w:val="24"/>
        </w:rPr>
        <w:t xml:space="preserve">3. </w:t>
      </w:r>
      <w:r w:rsidR="000C06C6" w:rsidRPr="00BA0407">
        <w:rPr>
          <w:rFonts w:ascii="Palatino" w:hAnsi="Palatino" w:cstheme="majorHAnsi"/>
          <w:b/>
          <w:szCs w:val="24"/>
        </w:rPr>
        <w:t>Who is poor ?</w:t>
      </w:r>
      <w:r w:rsidRPr="00BA0407">
        <w:rPr>
          <w:rFonts w:ascii="Palatino" w:hAnsi="Palatino" w:cstheme="majorHAnsi"/>
          <w:b/>
          <w:szCs w:val="24"/>
        </w:rPr>
        <w:t xml:space="preserve"> </w:t>
      </w:r>
    </w:p>
    <w:p w14:paraId="3BAC7F83" w14:textId="77777777" w:rsidR="003C0845" w:rsidRDefault="003C0845"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A few economists studied poverty measurement data prior to the government’s announcement of its version of the same. Apart from a few exceptions, researchers began to take interest in measuring the poverty rate in the late 1990s by using data from the 1980s, which included the bubble economy period.</w:t>
      </w:r>
    </w:p>
    <w:p w14:paraId="1138B18F" w14:textId="3E056C22" w:rsidR="005432C2" w:rsidRPr="009B7E35" w:rsidRDefault="003C0845"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 In these studies, the social assistance level, or 50% of the median equivalent income was used as the poverty line. In addition, researchers utilized data from the National Survey of Family Income and Expenditure (or NSFIE), the Comprehensive Survey of Living Conditions (or CSLC), and the Survey on the Redistribution of Income (or SRI). The government report that I mentioned earlier used data from CSLC to calculate the relative poverty rate. </w:t>
      </w:r>
    </w:p>
    <w:p w14:paraId="43706CCB" w14:textId="1F8D4509" w:rsidR="00DE3AE7" w:rsidRDefault="003C0845"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Figure </w:t>
      </w:r>
      <w:r w:rsidR="00DE3AE7">
        <w:rPr>
          <w:rFonts w:ascii="Palatino" w:hAnsi="Palatino" w:cstheme="majorHAnsi" w:hint="eastAsia"/>
          <w:sz w:val="21"/>
          <w:szCs w:val="21"/>
        </w:rPr>
        <w:t>４</w:t>
      </w:r>
      <w:r w:rsidR="005432C2" w:rsidRPr="009B7E35">
        <w:rPr>
          <w:rFonts w:ascii="Palatino" w:hAnsi="Palatino" w:cstheme="majorHAnsi"/>
          <w:sz w:val="21"/>
          <w:szCs w:val="21"/>
        </w:rPr>
        <w:t xml:space="preserve"> shows some results of these measureme</w:t>
      </w:r>
      <w:r>
        <w:rPr>
          <w:rFonts w:ascii="Palatino" w:hAnsi="Palatino" w:cstheme="majorHAnsi"/>
          <w:sz w:val="21"/>
          <w:szCs w:val="21"/>
        </w:rPr>
        <w:t>nts by using data from NSFIE,</w:t>
      </w:r>
      <w:r w:rsidR="005432C2" w:rsidRPr="009B7E35">
        <w:rPr>
          <w:rFonts w:ascii="Palatino" w:hAnsi="Palatino" w:cstheme="majorHAnsi"/>
          <w:sz w:val="21"/>
          <w:szCs w:val="21"/>
        </w:rPr>
        <w:t xml:space="preserve"> SRI</w:t>
      </w:r>
      <w:r>
        <w:rPr>
          <w:rFonts w:ascii="Palatino" w:hAnsi="Palatino" w:cstheme="majorHAnsi"/>
          <w:sz w:val="21"/>
          <w:szCs w:val="21"/>
        </w:rPr>
        <w:t xml:space="preserve"> and CSLC</w:t>
      </w:r>
      <w:r w:rsidR="005432C2" w:rsidRPr="009B7E35">
        <w:rPr>
          <w:rFonts w:ascii="Palatino" w:hAnsi="Palatino" w:cstheme="majorHAnsi"/>
          <w:sz w:val="21"/>
          <w:szCs w:val="21"/>
        </w:rPr>
        <w:t xml:space="preserve">. </w:t>
      </w:r>
      <w:proofErr w:type="spellStart"/>
      <w:r w:rsidR="005432C2" w:rsidRPr="009F6434">
        <w:rPr>
          <w:rFonts w:ascii="Palatino" w:hAnsi="Palatino" w:cstheme="majorHAnsi"/>
          <w:i/>
          <w:sz w:val="21"/>
          <w:szCs w:val="21"/>
        </w:rPr>
        <w:t>Komamura</w:t>
      </w:r>
      <w:proofErr w:type="spellEnd"/>
      <w:r w:rsidR="005432C2" w:rsidRPr="009F6434">
        <w:rPr>
          <w:rFonts w:ascii="Palatino" w:hAnsi="Palatino" w:cstheme="majorHAnsi"/>
          <w:i/>
          <w:sz w:val="21"/>
          <w:szCs w:val="21"/>
        </w:rPr>
        <w:t xml:space="preserve"> </w:t>
      </w:r>
      <w:r w:rsidR="005432C2" w:rsidRPr="009B7E35">
        <w:rPr>
          <w:rFonts w:ascii="Palatino" w:hAnsi="Palatino" w:cstheme="majorHAnsi"/>
          <w:sz w:val="21"/>
          <w:szCs w:val="21"/>
        </w:rPr>
        <w:t xml:space="preserve">alone used the social assistance level as the poverty line, while others used 50% of the median equivalent income level. </w:t>
      </w:r>
      <w:r w:rsidR="00DE3AE7">
        <w:rPr>
          <w:rFonts w:ascii="Palatino" w:hAnsi="Palatino" w:cstheme="majorHAnsi" w:hint="eastAsia"/>
          <w:sz w:val="21"/>
          <w:szCs w:val="21"/>
        </w:rPr>
        <w:t xml:space="preserve">　　</w:t>
      </w:r>
      <w:r w:rsidR="008C473E">
        <w:rPr>
          <w:rFonts w:ascii="Palatino" w:hAnsi="Palatino" w:cstheme="majorHAnsi"/>
          <w:noProof/>
          <w:sz w:val="21"/>
          <w:szCs w:val="21"/>
        </w:rPr>
        <w:drawing>
          <wp:inline distT="0" distB="0" distL="0" distR="0" wp14:anchorId="229476F7" wp14:editId="09493E57">
            <wp:extent cx="5939790" cy="3001645"/>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001645"/>
                    </a:xfrm>
                    <a:prstGeom prst="rect">
                      <a:avLst/>
                    </a:prstGeom>
                    <a:noFill/>
                    <a:ln>
                      <a:noFill/>
                    </a:ln>
                  </pic:spPr>
                </pic:pic>
              </a:graphicData>
            </a:graphic>
          </wp:inline>
        </w:drawing>
      </w:r>
    </w:p>
    <w:p w14:paraId="070FA2A3" w14:textId="1EBBB97E" w:rsidR="00DE3AE7" w:rsidRDefault="00DE3AE7" w:rsidP="00383A7F">
      <w:pPr>
        <w:rPr>
          <w:rFonts w:ascii="Palatino" w:hAnsi="Palatino" w:cstheme="majorHAnsi"/>
          <w:sz w:val="21"/>
          <w:szCs w:val="21"/>
        </w:rPr>
      </w:pPr>
      <w:r w:rsidRPr="00DE3AE7">
        <w:rPr>
          <w:rFonts w:ascii="Palatino" w:hAnsi="Palatino" w:cstheme="majorHAnsi"/>
          <w:noProof/>
          <w:sz w:val="21"/>
          <w:szCs w:val="21"/>
        </w:rPr>
        <w:drawing>
          <wp:inline distT="0" distB="0" distL="0" distR="0" wp14:anchorId="088E8307" wp14:editId="3E368C6B">
            <wp:extent cx="5939790" cy="1339753"/>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339753"/>
                    </a:xfrm>
                    <a:prstGeom prst="rect">
                      <a:avLst/>
                    </a:prstGeom>
                    <a:noFill/>
                    <a:ln>
                      <a:noFill/>
                    </a:ln>
                  </pic:spPr>
                </pic:pic>
              </a:graphicData>
            </a:graphic>
          </wp:inline>
        </w:drawing>
      </w:r>
    </w:p>
    <w:p w14:paraId="490AA7DF" w14:textId="596737C1" w:rsidR="009F6434" w:rsidRPr="009B7E35" w:rsidRDefault="00DE3AE7" w:rsidP="00383A7F">
      <w:pPr>
        <w:rPr>
          <w:rFonts w:ascii="Palatino" w:hAnsi="Palatino" w:cstheme="majorHAnsi"/>
          <w:sz w:val="21"/>
          <w:szCs w:val="21"/>
        </w:rPr>
      </w:pPr>
      <w:r>
        <w:rPr>
          <w:rFonts w:ascii="Palatino" w:hAnsi="Palatino" w:cstheme="majorHAnsi" w:hint="eastAsia"/>
          <w:sz w:val="21"/>
          <w:szCs w:val="21"/>
        </w:rPr>
        <w:t xml:space="preserve">　　　　</w:t>
      </w:r>
      <w:r w:rsidR="005432C2" w:rsidRPr="009B7E35">
        <w:rPr>
          <w:rFonts w:ascii="Palatino" w:hAnsi="Palatino" w:cstheme="majorHAnsi"/>
          <w:sz w:val="21"/>
          <w:szCs w:val="21"/>
        </w:rPr>
        <w:t xml:space="preserve">In two separate studies, </w:t>
      </w:r>
      <w:r w:rsidR="005432C2" w:rsidRPr="009F6434">
        <w:rPr>
          <w:rFonts w:ascii="Palatino" w:hAnsi="Palatino" w:cstheme="majorHAnsi"/>
          <w:i/>
          <w:sz w:val="21"/>
          <w:szCs w:val="21"/>
        </w:rPr>
        <w:t xml:space="preserve">Abe, </w:t>
      </w:r>
      <w:proofErr w:type="spellStart"/>
      <w:r w:rsidR="005432C2" w:rsidRPr="009F6434">
        <w:rPr>
          <w:rFonts w:ascii="Palatino" w:hAnsi="Palatino" w:cstheme="majorHAnsi"/>
          <w:i/>
          <w:sz w:val="21"/>
          <w:szCs w:val="21"/>
        </w:rPr>
        <w:t>Tachibanak</w:t>
      </w:r>
      <w:r w:rsidR="005432C2" w:rsidRPr="009B7E35">
        <w:rPr>
          <w:rFonts w:ascii="Palatino" w:hAnsi="Palatino" w:cstheme="majorHAnsi"/>
          <w:sz w:val="21"/>
          <w:szCs w:val="21"/>
        </w:rPr>
        <w:t>i</w:t>
      </w:r>
      <w:proofErr w:type="spellEnd"/>
      <w:r w:rsidR="005432C2" w:rsidRPr="009B7E35">
        <w:rPr>
          <w:rFonts w:ascii="Palatino" w:hAnsi="Palatino" w:cstheme="majorHAnsi"/>
          <w:sz w:val="21"/>
          <w:szCs w:val="21"/>
        </w:rPr>
        <w:t xml:space="preserve"> and</w:t>
      </w:r>
      <w:r w:rsidR="005432C2" w:rsidRPr="009F6434">
        <w:rPr>
          <w:rFonts w:ascii="Palatino" w:hAnsi="Palatino" w:cstheme="majorHAnsi"/>
          <w:i/>
          <w:sz w:val="21"/>
          <w:szCs w:val="21"/>
        </w:rPr>
        <w:t xml:space="preserve"> Urakawa</w:t>
      </w:r>
      <w:r w:rsidR="005432C2" w:rsidRPr="009B7E35">
        <w:rPr>
          <w:rFonts w:ascii="Palatino" w:hAnsi="Palatino" w:cstheme="majorHAnsi"/>
          <w:sz w:val="21"/>
          <w:szCs w:val="21"/>
        </w:rPr>
        <w:t xml:space="preserve"> derived their measurement from SRI data, and reported that not only did the poverty rate increase in the early 1990s with the collapse of the bubble economy, it also increased in the period from around 1999 to early 2000. </w:t>
      </w:r>
      <w:r w:rsidR="00187727">
        <w:rPr>
          <w:rFonts w:ascii="Palatino" w:hAnsi="Palatino" w:cstheme="majorHAnsi"/>
          <w:sz w:val="21"/>
          <w:szCs w:val="21"/>
        </w:rPr>
        <w:t xml:space="preserve"> </w:t>
      </w:r>
      <w:r w:rsidR="005432C2" w:rsidRPr="009B7E35">
        <w:rPr>
          <w:rFonts w:ascii="Palatino" w:hAnsi="Palatino" w:cstheme="majorHAnsi"/>
          <w:sz w:val="21"/>
          <w:szCs w:val="21"/>
        </w:rPr>
        <w:t xml:space="preserve">Using data from NSFIE as a comparison, </w:t>
      </w:r>
      <w:proofErr w:type="spellStart"/>
      <w:r w:rsidR="005432C2" w:rsidRPr="009F6434">
        <w:rPr>
          <w:rFonts w:ascii="Palatino" w:hAnsi="Palatino" w:cstheme="majorHAnsi"/>
          <w:i/>
          <w:sz w:val="21"/>
          <w:szCs w:val="21"/>
        </w:rPr>
        <w:t>Nishizaki</w:t>
      </w:r>
      <w:proofErr w:type="spellEnd"/>
      <w:r w:rsidR="005432C2" w:rsidRPr="009B7E35">
        <w:rPr>
          <w:rFonts w:ascii="Palatino" w:hAnsi="Palatino" w:cstheme="majorHAnsi"/>
          <w:sz w:val="21"/>
          <w:szCs w:val="21"/>
        </w:rPr>
        <w:t xml:space="preserve"> and</w:t>
      </w:r>
      <w:r w:rsidR="005432C2" w:rsidRPr="009F6434">
        <w:rPr>
          <w:rFonts w:ascii="Palatino" w:hAnsi="Palatino" w:cstheme="majorHAnsi"/>
          <w:i/>
          <w:sz w:val="21"/>
          <w:szCs w:val="21"/>
        </w:rPr>
        <w:t xml:space="preserve"> </w:t>
      </w:r>
      <w:proofErr w:type="spellStart"/>
      <w:r w:rsidR="005432C2" w:rsidRPr="009F6434">
        <w:rPr>
          <w:rFonts w:ascii="Palatino" w:hAnsi="Palatino" w:cstheme="majorHAnsi"/>
          <w:i/>
          <w:sz w:val="21"/>
          <w:szCs w:val="21"/>
        </w:rPr>
        <w:t>Komakura</w:t>
      </w:r>
      <w:proofErr w:type="spellEnd"/>
      <w:r w:rsidR="005432C2" w:rsidRPr="009F6434">
        <w:rPr>
          <w:rFonts w:ascii="Palatino" w:hAnsi="Palatino" w:cstheme="majorHAnsi"/>
          <w:i/>
          <w:sz w:val="21"/>
          <w:szCs w:val="21"/>
        </w:rPr>
        <w:t xml:space="preserve"> </w:t>
      </w:r>
      <w:r w:rsidR="005432C2" w:rsidRPr="009B7E35">
        <w:rPr>
          <w:rFonts w:ascii="Palatino" w:hAnsi="Palatino" w:cstheme="majorHAnsi"/>
          <w:sz w:val="21"/>
          <w:szCs w:val="21"/>
        </w:rPr>
        <w:t>reported that the increase in the poverty rate in the early 1990s was not as large as that calculated using SRI data.</w:t>
      </w:r>
    </w:p>
    <w:p w14:paraId="455BB644" w14:textId="45612B16" w:rsidR="003C0845" w:rsidRDefault="00D450EA" w:rsidP="003C0845">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Note that the government focused only on households with children, of the poor households. However, the researchers included other household categories and individual characteristics in their reports. </w:t>
      </w:r>
      <w:r w:rsidR="00187727">
        <w:rPr>
          <w:rFonts w:ascii="Palatino" w:hAnsi="Palatino" w:cstheme="majorHAnsi"/>
          <w:sz w:val="21"/>
          <w:szCs w:val="21"/>
        </w:rPr>
        <w:t xml:space="preserve"> </w:t>
      </w:r>
      <w:r w:rsidR="00187727" w:rsidRPr="003C0845">
        <w:rPr>
          <w:rFonts w:ascii="Palatino" w:hAnsi="Palatino" w:cstheme="majorHAnsi"/>
          <w:sz w:val="21"/>
          <w:szCs w:val="21"/>
        </w:rPr>
        <w:t xml:space="preserve">Using the latest CSLC data, </w:t>
      </w:r>
      <w:r w:rsidR="00187727" w:rsidRPr="009F6434">
        <w:rPr>
          <w:rFonts w:ascii="Palatino" w:hAnsi="Palatino" w:cstheme="majorHAnsi"/>
          <w:i/>
          <w:sz w:val="21"/>
          <w:szCs w:val="21"/>
        </w:rPr>
        <w:t>Abe</w:t>
      </w:r>
      <w:r w:rsidR="00187727" w:rsidRPr="003C0845">
        <w:rPr>
          <w:rFonts w:ascii="Palatino" w:hAnsi="Palatino" w:cstheme="majorHAnsi"/>
          <w:sz w:val="21"/>
          <w:szCs w:val="21"/>
        </w:rPr>
        <w:t xml:space="preserve"> measured the poverty rate by individuals instead of households, and reported the poverty rate by demographical characteristics.</w:t>
      </w:r>
      <w:r w:rsidR="00187727">
        <w:rPr>
          <w:rFonts w:ascii="Palatino" w:hAnsi="Palatino" w:cstheme="majorHAnsi"/>
          <w:sz w:val="21"/>
          <w:szCs w:val="21"/>
        </w:rPr>
        <w:t xml:space="preserve"> </w:t>
      </w:r>
      <w:r w:rsidR="003C0845" w:rsidRPr="003C0845">
        <w:rPr>
          <w:rFonts w:ascii="Palatino" w:hAnsi="Palatino" w:cstheme="majorHAnsi"/>
          <w:sz w:val="21"/>
          <w:szCs w:val="21"/>
        </w:rPr>
        <w:t xml:space="preserve">Figure </w:t>
      </w:r>
      <w:r w:rsidR="008C473E">
        <w:rPr>
          <w:rFonts w:ascii="Palatino" w:hAnsi="Palatino" w:cstheme="majorHAnsi"/>
          <w:sz w:val="21"/>
          <w:szCs w:val="21"/>
        </w:rPr>
        <w:t>5</w:t>
      </w:r>
      <w:r w:rsidR="003C0845" w:rsidRPr="003C0845">
        <w:rPr>
          <w:rFonts w:ascii="Palatino" w:hAnsi="Palatino" w:cstheme="majorHAnsi"/>
          <w:sz w:val="21"/>
          <w:szCs w:val="21"/>
        </w:rPr>
        <w:t xml:space="preserve"> shows the poverty rate by sex and age. The poverty rate of late-middle and older men and women (50 and over) were high in 1995. However, in 2010, the poverty rate growth in young people was prominent. And the poverty rate of older women kept high level while the rate of older men dropped.</w:t>
      </w:r>
    </w:p>
    <w:p w14:paraId="33EF2F34" w14:textId="1688632D" w:rsidR="008C473E" w:rsidRPr="003C0845" w:rsidRDefault="008C473E" w:rsidP="008C473E">
      <w:pPr>
        <w:rPr>
          <w:rFonts w:ascii="Palatino" w:hAnsi="Palatino" w:cstheme="majorHAnsi"/>
          <w:sz w:val="21"/>
          <w:szCs w:val="21"/>
        </w:rPr>
      </w:pPr>
      <w:r>
        <w:rPr>
          <w:rFonts w:ascii="Palatino" w:hAnsi="Palatino" w:cstheme="majorHAnsi"/>
          <w:sz w:val="21"/>
          <w:szCs w:val="21"/>
        </w:rPr>
        <w:t xml:space="preserve">      </w:t>
      </w:r>
      <w:r w:rsidRPr="003C0845">
        <w:rPr>
          <w:rFonts w:ascii="Palatino" w:hAnsi="Palatino" w:cstheme="majorHAnsi"/>
          <w:sz w:val="21"/>
          <w:szCs w:val="21"/>
        </w:rPr>
        <w:t xml:space="preserve">Next figure </w:t>
      </w:r>
      <w:r>
        <w:rPr>
          <w:rFonts w:ascii="Palatino" w:hAnsi="Palatino" w:cstheme="majorHAnsi"/>
          <w:sz w:val="21"/>
          <w:szCs w:val="21"/>
        </w:rPr>
        <w:t>6</w:t>
      </w:r>
      <w:r w:rsidR="00484FE5">
        <w:rPr>
          <w:rFonts w:ascii="Palatino" w:hAnsi="Palatino" w:cstheme="majorHAnsi"/>
          <w:sz w:val="21"/>
          <w:szCs w:val="21"/>
        </w:rPr>
        <w:t xml:space="preserve"> and 7</w:t>
      </w:r>
      <w:r w:rsidRPr="003C0845">
        <w:rPr>
          <w:rFonts w:ascii="Palatino" w:hAnsi="Palatino" w:cstheme="majorHAnsi"/>
          <w:sz w:val="21"/>
          <w:szCs w:val="21"/>
        </w:rPr>
        <w:t xml:space="preserve"> offers poverty rate by marital status. The poverty rate of married people was the lowest both in 1995 and 2010. In contrast, the divorced and widowed people maintained high poverty rate. In addition, the poverty rate of never married people, especially working age men and elderly women has increased in 2010. </w:t>
      </w:r>
    </w:p>
    <w:p w14:paraId="79F2A24C" w14:textId="7F99E097" w:rsidR="008C473E" w:rsidRDefault="008C473E" w:rsidP="008C473E">
      <w:pPr>
        <w:rPr>
          <w:rFonts w:ascii="Palatino" w:hAnsi="Palatino" w:cstheme="majorHAnsi"/>
          <w:sz w:val="21"/>
          <w:szCs w:val="21"/>
        </w:rPr>
      </w:pPr>
      <w:r w:rsidRPr="003C0845">
        <w:rPr>
          <w:rFonts w:ascii="Palatino" w:hAnsi="Palatino" w:cstheme="majorHAnsi"/>
          <w:sz w:val="21"/>
          <w:szCs w:val="21"/>
        </w:rPr>
        <w:t xml:space="preserve"> </w:t>
      </w:r>
      <w:r>
        <w:rPr>
          <w:rFonts w:ascii="Palatino" w:hAnsi="Palatino" w:cstheme="majorHAnsi"/>
          <w:sz w:val="21"/>
          <w:szCs w:val="21"/>
        </w:rPr>
        <w:t xml:space="preserve">  </w:t>
      </w:r>
      <w:r w:rsidRPr="003C0845">
        <w:rPr>
          <w:rFonts w:ascii="Palatino" w:hAnsi="Palatino" w:cstheme="majorHAnsi"/>
          <w:sz w:val="21"/>
          <w:szCs w:val="21"/>
        </w:rPr>
        <w:t xml:space="preserve"> </w:t>
      </w:r>
      <w:r>
        <w:rPr>
          <w:rFonts w:ascii="Palatino" w:hAnsi="Palatino" w:cstheme="majorHAnsi"/>
          <w:sz w:val="21"/>
          <w:szCs w:val="21"/>
        </w:rPr>
        <w:t xml:space="preserve"> </w:t>
      </w:r>
      <w:r w:rsidR="00B67F4D">
        <w:rPr>
          <w:rFonts w:ascii="Palatino" w:hAnsi="Palatino" w:cstheme="majorHAnsi"/>
          <w:noProof/>
          <w:sz w:val="21"/>
          <w:szCs w:val="21"/>
        </w:rPr>
        <w:drawing>
          <wp:inline distT="0" distB="0" distL="0" distR="0" wp14:anchorId="55FB9022" wp14:editId="4338A915">
            <wp:extent cx="5764476" cy="3287996"/>
            <wp:effectExtent l="0" t="0" r="1905" b="0"/>
            <wp:docPr id="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536" cy="3288030"/>
                    </a:xfrm>
                    <a:prstGeom prst="rect">
                      <a:avLst/>
                    </a:prstGeom>
                    <a:noFill/>
                    <a:ln>
                      <a:noFill/>
                    </a:ln>
                  </pic:spPr>
                </pic:pic>
              </a:graphicData>
            </a:graphic>
          </wp:inline>
        </w:drawing>
      </w:r>
    </w:p>
    <w:p w14:paraId="3BBECC79" w14:textId="30145908" w:rsidR="008C473E" w:rsidRDefault="0030027E" w:rsidP="003C0845">
      <w:pPr>
        <w:rPr>
          <w:rFonts w:ascii="Palatino" w:hAnsi="Palatino" w:cstheme="majorHAnsi"/>
          <w:sz w:val="21"/>
          <w:szCs w:val="21"/>
        </w:rPr>
      </w:pPr>
      <w:r>
        <w:rPr>
          <w:rFonts w:ascii="Palatino" w:hAnsi="Palatino" w:cstheme="majorHAnsi"/>
          <w:noProof/>
          <w:sz w:val="21"/>
          <w:szCs w:val="21"/>
        </w:rPr>
        <w:drawing>
          <wp:inline distT="0" distB="0" distL="0" distR="0" wp14:anchorId="17A858D5" wp14:editId="5320C139">
            <wp:extent cx="5600457" cy="2606040"/>
            <wp:effectExtent l="0" t="0" r="0" b="10160"/>
            <wp:docPr id="1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457" cy="2606040"/>
                    </a:xfrm>
                    <a:prstGeom prst="rect">
                      <a:avLst/>
                    </a:prstGeom>
                    <a:noFill/>
                    <a:ln>
                      <a:noFill/>
                    </a:ln>
                  </pic:spPr>
                </pic:pic>
              </a:graphicData>
            </a:graphic>
          </wp:inline>
        </w:drawing>
      </w:r>
    </w:p>
    <w:p w14:paraId="21B723DD" w14:textId="66679D8F" w:rsidR="008C473E" w:rsidRDefault="00484FE5" w:rsidP="003C0845">
      <w:pPr>
        <w:rPr>
          <w:rFonts w:ascii="Palatino" w:hAnsi="Palatino" w:cstheme="majorHAnsi"/>
          <w:sz w:val="21"/>
          <w:szCs w:val="21"/>
        </w:rPr>
      </w:pPr>
      <w:r>
        <w:rPr>
          <w:rFonts w:ascii="Palatino" w:hAnsi="Palatino" w:cstheme="majorHAnsi"/>
          <w:sz w:val="21"/>
          <w:szCs w:val="21"/>
        </w:rPr>
        <w:t xml:space="preserve">  </w:t>
      </w:r>
    </w:p>
    <w:p w14:paraId="7D621CB8" w14:textId="00946D7B" w:rsidR="008C473E" w:rsidRDefault="00484FE5" w:rsidP="008C473E">
      <w:pPr>
        <w:rPr>
          <w:rFonts w:ascii="Palatino" w:hAnsi="Palatino" w:cstheme="majorHAnsi"/>
          <w:sz w:val="21"/>
          <w:szCs w:val="21"/>
        </w:rPr>
      </w:pPr>
      <w:r>
        <w:rPr>
          <w:rFonts w:ascii="Palatino" w:hAnsi="Palatino" w:cstheme="majorHAnsi"/>
          <w:noProof/>
          <w:sz w:val="21"/>
          <w:szCs w:val="21"/>
        </w:rPr>
        <w:drawing>
          <wp:inline distT="0" distB="0" distL="0" distR="0" wp14:anchorId="33A88837" wp14:editId="03D1E4DD">
            <wp:extent cx="5359400" cy="2065871"/>
            <wp:effectExtent l="0" t="0" r="0" b="0"/>
            <wp:docPr id="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0035" cy="2066116"/>
                    </a:xfrm>
                    <a:prstGeom prst="rect">
                      <a:avLst/>
                    </a:prstGeom>
                    <a:noFill/>
                    <a:ln>
                      <a:noFill/>
                    </a:ln>
                  </pic:spPr>
                </pic:pic>
              </a:graphicData>
            </a:graphic>
          </wp:inline>
        </w:drawing>
      </w:r>
    </w:p>
    <w:p w14:paraId="52A12B10" w14:textId="20BD6FA3" w:rsidR="003C0845" w:rsidRDefault="008C473E" w:rsidP="003C0845">
      <w:pPr>
        <w:rPr>
          <w:rFonts w:ascii="Palatino" w:hAnsi="Palatino" w:cstheme="majorHAnsi"/>
          <w:sz w:val="21"/>
          <w:szCs w:val="21"/>
        </w:rPr>
      </w:pPr>
      <w:r>
        <w:rPr>
          <w:rFonts w:ascii="Palatino" w:hAnsi="Palatino" w:cstheme="majorHAnsi"/>
          <w:sz w:val="21"/>
          <w:szCs w:val="21"/>
        </w:rPr>
        <w:t xml:space="preserve">       </w:t>
      </w:r>
      <w:r w:rsidR="003C0845" w:rsidRPr="003C0845">
        <w:rPr>
          <w:rFonts w:ascii="Palatino" w:hAnsi="Palatino" w:cstheme="majorHAnsi"/>
          <w:sz w:val="21"/>
          <w:szCs w:val="21"/>
        </w:rPr>
        <w:t xml:space="preserve">Figure </w:t>
      </w:r>
      <w:r w:rsidR="0030027E">
        <w:rPr>
          <w:rFonts w:ascii="Palatino" w:hAnsi="Palatino" w:cstheme="majorHAnsi"/>
          <w:sz w:val="21"/>
          <w:szCs w:val="21"/>
        </w:rPr>
        <w:t>8</w:t>
      </w:r>
      <w:r w:rsidR="003C0845" w:rsidRPr="003C0845">
        <w:rPr>
          <w:rFonts w:ascii="Palatino" w:hAnsi="Palatino" w:cstheme="majorHAnsi"/>
          <w:sz w:val="21"/>
          <w:szCs w:val="21"/>
        </w:rPr>
        <w:t xml:space="preserve">  indicates </w:t>
      </w:r>
      <w:r w:rsidR="00D450EA">
        <w:rPr>
          <w:rFonts w:ascii="Palatino" w:hAnsi="Palatino" w:cstheme="majorHAnsi"/>
          <w:sz w:val="21"/>
          <w:szCs w:val="21"/>
        </w:rPr>
        <w:t xml:space="preserve"> </w:t>
      </w:r>
      <w:r w:rsidR="003C0845" w:rsidRPr="003C0845">
        <w:rPr>
          <w:rFonts w:ascii="Palatino" w:hAnsi="Palatino" w:cstheme="majorHAnsi"/>
          <w:sz w:val="21"/>
          <w:szCs w:val="21"/>
        </w:rPr>
        <w:t xml:space="preserve">the poverty rate of working age by household types . We can see here a high poverty rate for single-parent </w:t>
      </w:r>
      <w:r w:rsidR="00D450EA">
        <w:rPr>
          <w:rFonts w:ascii="Palatino" w:hAnsi="Palatino" w:cstheme="majorHAnsi"/>
          <w:sz w:val="21"/>
          <w:szCs w:val="21"/>
        </w:rPr>
        <w:t xml:space="preserve"> </w:t>
      </w:r>
      <w:r w:rsidR="003C0845" w:rsidRPr="003C0845">
        <w:rPr>
          <w:rFonts w:ascii="Palatino" w:hAnsi="Palatino" w:cstheme="majorHAnsi"/>
          <w:sz w:val="21"/>
          <w:szCs w:val="21"/>
        </w:rPr>
        <w:t>and single households. While, in case of elderly ,</w:t>
      </w:r>
      <w:r w:rsidR="00D450EA">
        <w:rPr>
          <w:rFonts w:ascii="Palatino" w:hAnsi="Palatino" w:cstheme="majorHAnsi"/>
          <w:sz w:val="21"/>
          <w:szCs w:val="21"/>
        </w:rPr>
        <w:t xml:space="preserve"> </w:t>
      </w:r>
      <w:r w:rsidR="003C0845" w:rsidRPr="003C0845">
        <w:rPr>
          <w:rFonts w:ascii="Palatino" w:hAnsi="Palatino" w:cstheme="majorHAnsi"/>
          <w:sz w:val="21"/>
          <w:szCs w:val="21"/>
        </w:rPr>
        <w:t xml:space="preserve"> single female households were at high risk displayed in  figure </w:t>
      </w:r>
      <w:r w:rsidR="0030027E">
        <w:rPr>
          <w:rFonts w:ascii="Palatino" w:hAnsi="Palatino" w:cstheme="majorHAnsi"/>
          <w:sz w:val="21"/>
          <w:szCs w:val="21"/>
        </w:rPr>
        <w:t>9</w:t>
      </w:r>
      <w:r w:rsidR="003C0845" w:rsidRPr="003C0845">
        <w:rPr>
          <w:rFonts w:ascii="Palatino" w:hAnsi="Palatino" w:cstheme="majorHAnsi"/>
          <w:sz w:val="21"/>
          <w:szCs w:val="21"/>
        </w:rPr>
        <w:t xml:space="preserve">. </w:t>
      </w:r>
    </w:p>
    <w:p w14:paraId="13208557" w14:textId="7CFE1305" w:rsidR="0030027E" w:rsidRDefault="009354B6" w:rsidP="003C0845">
      <w:pPr>
        <w:rPr>
          <w:rFonts w:ascii="Palatino" w:hAnsi="Palatino" w:cstheme="majorHAnsi"/>
          <w:sz w:val="21"/>
          <w:szCs w:val="21"/>
        </w:rPr>
      </w:pPr>
      <w:r>
        <w:rPr>
          <w:rFonts w:ascii="Palatino" w:hAnsi="Palatino" w:cstheme="majorHAnsi"/>
          <w:noProof/>
          <w:sz w:val="21"/>
          <w:szCs w:val="21"/>
        </w:rPr>
        <w:drawing>
          <wp:inline distT="0" distB="0" distL="0" distR="0" wp14:anchorId="15429C1A" wp14:editId="36F21979">
            <wp:extent cx="5939790" cy="2489500"/>
            <wp:effectExtent l="0" t="0" r="3810" b="0"/>
            <wp:docPr id="2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489500"/>
                    </a:xfrm>
                    <a:prstGeom prst="rect">
                      <a:avLst/>
                    </a:prstGeom>
                    <a:noFill/>
                    <a:ln>
                      <a:noFill/>
                    </a:ln>
                  </pic:spPr>
                </pic:pic>
              </a:graphicData>
            </a:graphic>
          </wp:inline>
        </w:drawing>
      </w:r>
    </w:p>
    <w:p w14:paraId="7AB56A36" w14:textId="5AE9EBB1" w:rsidR="0030027E" w:rsidRPr="003C0845" w:rsidRDefault="009354B6" w:rsidP="003C0845">
      <w:pPr>
        <w:rPr>
          <w:rFonts w:ascii="Palatino" w:hAnsi="Palatino" w:cstheme="majorHAnsi"/>
          <w:sz w:val="21"/>
          <w:szCs w:val="21"/>
        </w:rPr>
      </w:pPr>
      <w:r>
        <w:rPr>
          <w:rFonts w:ascii="Palatino" w:hAnsi="Palatino" w:cstheme="majorHAnsi"/>
          <w:noProof/>
          <w:sz w:val="21"/>
          <w:szCs w:val="21"/>
        </w:rPr>
        <w:drawing>
          <wp:inline distT="0" distB="0" distL="0" distR="0" wp14:anchorId="3CEBCF77" wp14:editId="00CF07DF">
            <wp:extent cx="5934318" cy="2772410"/>
            <wp:effectExtent l="0" t="0" r="9525" b="0"/>
            <wp:docPr id="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318" cy="2772410"/>
                    </a:xfrm>
                    <a:prstGeom prst="rect">
                      <a:avLst/>
                    </a:prstGeom>
                    <a:noFill/>
                    <a:ln>
                      <a:noFill/>
                    </a:ln>
                  </pic:spPr>
                </pic:pic>
              </a:graphicData>
            </a:graphic>
          </wp:inline>
        </w:drawing>
      </w:r>
    </w:p>
    <w:p w14:paraId="27AF232F" w14:textId="40783D7C" w:rsidR="003C0845" w:rsidRDefault="00D450EA" w:rsidP="003C0845">
      <w:pPr>
        <w:rPr>
          <w:rFonts w:ascii="Palatino" w:hAnsi="Palatino" w:cstheme="majorHAnsi"/>
          <w:sz w:val="21"/>
          <w:szCs w:val="21"/>
        </w:rPr>
      </w:pPr>
      <w:r>
        <w:rPr>
          <w:rFonts w:ascii="Palatino" w:hAnsi="Palatino" w:cstheme="majorHAnsi"/>
          <w:sz w:val="21"/>
          <w:szCs w:val="21"/>
        </w:rPr>
        <w:t xml:space="preserve">    </w:t>
      </w:r>
      <w:r w:rsidR="003C0845" w:rsidRPr="003C0845">
        <w:rPr>
          <w:rFonts w:ascii="Palatino" w:hAnsi="Palatino" w:cstheme="majorHAnsi"/>
          <w:sz w:val="21"/>
          <w:szCs w:val="21"/>
        </w:rPr>
        <w:t xml:space="preserve">The figure </w:t>
      </w:r>
      <w:r w:rsidR="0030027E">
        <w:rPr>
          <w:rFonts w:ascii="Palatino" w:hAnsi="Palatino" w:cstheme="majorHAnsi"/>
          <w:sz w:val="21"/>
          <w:szCs w:val="21"/>
        </w:rPr>
        <w:t>10</w:t>
      </w:r>
      <w:r w:rsidR="003C0845" w:rsidRPr="003C0845">
        <w:rPr>
          <w:rFonts w:ascii="Palatino" w:hAnsi="Palatino" w:cstheme="majorHAnsi"/>
          <w:sz w:val="21"/>
          <w:szCs w:val="21"/>
        </w:rPr>
        <w:t xml:space="preserve"> indicates the strong relation between poverty and low education. Next figure </w:t>
      </w:r>
      <w:r w:rsidR="00B86DF4">
        <w:rPr>
          <w:rFonts w:ascii="Palatino" w:hAnsi="Palatino" w:cstheme="majorHAnsi"/>
          <w:sz w:val="21"/>
          <w:szCs w:val="21"/>
        </w:rPr>
        <w:t>11</w:t>
      </w:r>
      <w:r w:rsidR="003C0845" w:rsidRPr="003C0845">
        <w:rPr>
          <w:rFonts w:ascii="Palatino" w:hAnsi="Palatino" w:cstheme="majorHAnsi"/>
          <w:sz w:val="21"/>
          <w:szCs w:val="21"/>
        </w:rPr>
        <w:t xml:space="preserve"> shows that non-regular workers and self-employee had far higher risk than regular worker.</w:t>
      </w:r>
      <w:r w:rsidR="006D0645" w:rsidRPr="006D0645">
        <w:t xml:space="preserve"> </w:t>
      </w:r>
      <w:r w:rsidR="00B63D3D">
        <w:rPr>
          <w:noProof/>
        </w:rPr>
        <w:drawing>
          <wp:inline distT="0" distB="0" distL="0" distR="0" wp14:anchorId="664CDDCD" wp14:editId="05F1760E">
            <wp:extent cx="5595228" cy="2772410"/>
            <wp:effectExtent l="0" t="0" r="0" b="0"/>
            <wp:docPr id="2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228" cy="2772410"/>
                    </a:xfrm>
                    <a:prstGeom prst="rect">
                      <a:avLst/>
                    </a:prstGeom>
                    <a:noFill/>
                    <a:ln>
                      <a:noFill/>
                    </a:ln>
                  </pic:spPr>
                </pic:pic>
              </a:graphicData>
            </a:graphic>
          </wp:inline>
        </w:drawing>
      </w:r>
    </w:p>
    <w:p w14:paraId="58EB5C4D" w14:textId="6B21172D" w:rsidR="008C473E" w:rsidRPr="003C0845" w:rsidRDefault="009354B6" w:rsidP="003C0845">
      <w:pPr>
        <w:rPr>
          <w:rFonts w:ascii="Palatino" w:hAnsi="Palatino" w:cstheme="majorHAnsi"/>
          <w:sz w:val="21"/>
          <w:szCs w:val="21"/>
        </w:rPr>
      </w:pPr>
      <w:r>
        <w:rPr>
          <w:rFonts w:ascii="Palatino" w:hAnsi="Palatino" w:cstheme="majorHAnsi"/>
          <w:noProof/>
          <w:sz w:val="21"/>
          <w:szCs w:val="21"/>
        </w:rPr>
        <w:drawing>
          <wp:inline distT="0" distB="0" distL="0" distR="0" wp14:anchorId="750417EF" wp14:editId="1B308726">
            <wp:extent cx="5934318" cy="3229610"/>
            <wp:effectExtent l="0" t="0" r="9525" b="0"/>
            <wp:docPr id="2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318" cy="3229610"/>
                    </a:xfrm>
                    <a:prstGeom prst="rect">
                      <a:avLst/>
                    </a:prstGeom>
                    <a:noFill/>
                    <a:ln>
                      <a:noFill/>
                    </a:ln>
                  </pic:spPr>
                </pic:pic>
              </a:graphicData>
            </a:graphic>
          </wp:inline>
        </w:drawing>
      </w:r>
    </w:p>
    <w:p w14:paraId="04E5860A" w14:textId="77777777" w:rsidR="003C0845" w:rsidRPr="003C0845" w:rsidRDefault="003C0845" w:rsidP="003C0845">
      <w:pPr>
        <w:rPr>
          <w:rFonts w:ascii="Palatino" w:hAnsi="Palatino" w:cstheme="majorHAnsi"/>
          <w:sz w:val="21"/>
          <w:szCs w:val="21"/>
        </w:rPr>
      </w:pPr>
      <w:r w:rsidRPr="003C0845">
        <w:rPr>
          <w:rFonts w:ascii="Palatino" w:hAnsi="Palatino" w:cstheme="majorHAnsi" w:hint="eastAsia"/>
          <w:sz w:val="21"/>
          <w:szCs w:val="21"/>
        </w:rPr>
        <w:t xml:space="preserve">　　</w:t>
      </w:r>
      <w:r w:rsidRPr="003C0845">
        <w:rPr>
          <w:rFonts w:ascii="Palatino" w:hAnsi="Palatino" w:cstheme="majorHAnsi"/>
          <w:sz w:val="21"/>
          <w:szCs w:val="21"/>
        </w:rPr>
        <w:t>In summary, current poverty in Japan is prevalent in not only single-elderly women  and single-mother households but also the working-age groups</w:t>
      </w:r>
      <w:r w:rsidRPr="003C0845">
        <w:rPr>
          <w:rFonts w:ascii="Palatino" w:hAnsi="Palatino" w:cstheme="majorHAnsi"/>
          <w:sz w:val="21"/>
          <w:szCs w:val="21"/>
        </w:rPr>
        <w:t>、</w:t>
      </w:r>
      <w:r w:rsidRPr="003C0845">
        <w:rPr>
          <w:rFonts w:ascii="Palatino" w:hAnsi="Palatino" w:cstheme="majorHAnsi"/>
          <w:sz w:val="21"/>
          <w:szCs w:val="21"/>
        </w:rPr>
        <w:t xml:space="preserve">especially in the case of never married single young people and children. In addition, those with low education and not regular workers have a great disadvantage. </w:t>
      </w:r>
    </w:p>
    <w:p w14:paraId="3B63594C" w14:textId="77777777" w:rsidR="005432C2" w:rsidRPr="009B7E35" w:rsidRDefault="005432C2" w:rsidP="00270C80">
      <w:pPr>
        <w:outlineLvl w:val="0"/>
        <w:rPr>
          <w:rFonts w:ascii="Palatino" w:hAnsi="Palatino" w:cstheme="majorHAnsi"/>
          <w:b/>
          <w:szCs w:val="24"/>
        </w:rPr>
      </w:pPr>
      <w:r w:rsidRPr="009B7E35">
        <w:rPr>
          <w:rFonts w:ascii="Palatino" w:hAnsi="Palatino" w:cstheme="majorHAnsi"/>
          <w:b/>
          <w:szCs w:val="24"/>
        </w:rPr>
        <w:t>4. Poverty dynamics</w:t>
      </w:r>
    </w:p>
    <w:p w14:paraId="6D657ED1" w14:textId="3AE68DD1" w:rsidR="005432C2" w:rsidRPr="009B7E35" w:rsidRDefault="00D450EA"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Japanese researchers did not start undertaking longitudinal surveys such as panel surveys until recently. One of the pioneering investigations in this regard is the Japanese Panel Survey of Consumers (or the JPSC), that has been conducted since 1993 by the Institute for Research on Household Economics. In 1993, this survey targeted 1,500 females aged 24–34 years from across Japan. Later, three cohorts were added: They are Cohort A in 1997 of 500 females aged 24–27 years, Cohort B in 2003 of 836 females aged 24–29 years, and Cohort C in 2008 of 636 females aged 24–28 years. </w:t>
      </w:r>
    </w:p>
    <w:p w14:paraId="69BEF955" w14:textId="24BE684E" w:rsidR="005432C2" w:rsidRPr="009B7E35" w:rsidRDefault="00D450EA" w:rsidP="00383A7F">
      <w:pPr>
        <w:rPr>
          <w:rFonts w:ascii="Palatino" w:hAnsi="Palatino" w:cstheme="majorHAnsi"/>
          <w:sz w:val="21"/>
          <w:szCs w:val="21"/>
        </w:rPr>
      </w:pPr>
      <w:r>
        <w:rPr>
          <w:rFonts w:ascii="Palatino" w:hAnsi="Palatino" w:cstheme="majorHAnsi"/>
          <w:sz w:val="21"/>
          <w:szCs w:val="21"/>
        </w:rPr>
        <w:t xml:space="preserve">         </w:t>
      </w:r>
      <w:r w:rsidR="005432C2" w:rsidRPr="00D450EA">
        <w:rPr>
          <w:rFonts w:ascii="Palatino" w:hAnsi="Palatino" w:cstheme="majorHAnsi"/>
          <w:i/>
          <w:sz w:val="21"/>
          <w:szCs w:val="21"/>
        </w:rPr>
        <w:t>Iwata</w:t>
      </w:r>
      <w:r w:rsidR="005432C2" w:rsidRPr="009B7E35">
        <w:rPr>
          <w:rFonts w:ascii="Palatino" w:hAnsi="Palatino" w:cstheme="majorHAnsi"/>
          <w:sz w:val="21"/>
          <w:szCs w:val="21"/>
        </w:rPr>
        <w:t xml:space="preserve"> and </w:t>
      </w:r>
      <w:proofErr w:type="spellStart"/>
      <w:r w:rsidR="005432C2" w:rsidRPr="00D450EA">
        <w:rPr>
          <w:rFonts w:ascii="Palatino" w:hAnsi="Palatino" w:cstheme="majorHAnsi"/>
          <w:i/>
          <w:sz w:val="21"/>
          <w:szCs w:val="21"/>
        </w:rPr>
        <w:t>Hamamoto</w:t>
      </w:r>
      <w:proofErr w:type="spellEnd"/>
      <w:r w:rsidR="005432C2" w:rsidRPr="009B7E35">
        <w:rPr>
          <w:rFonts w:ascii="Palatino" w:hAnsi="Palatino" w:cstheme="majorHAnsi"/>
          <w:sz w:val="21"/>
          <w:szCs w:val="21"/>
        </w:rPr>
        <w:t xml:space="preserve"> extracted 12 years of JPSC’s household income data collected from wave 2 to wave 13 (i.e., from 1994 to 2005), and outlined poverty experienced by females. The poverty line was set at 1.2 times the social assistance level. Their results are shown in </w:t>
      </w:r>
      <w:r w:rsidR="00BA0407">
        <w:rPr>
          <w:rFonts w:ascii="Palatino" w:hAnsi="Palatino" w:cstheme="majorHAnsi"/>
          <w:sz w:val="21"/>
          <w:szCs w:val="21"/>
        </w:rPr>
        <w:t>Table 3</w:t>
      </w:r>
      <w:r w:rsidR="005432C2" w:rsidRPr="009B7E35">
        <w:rPr>
          <w:rFonts w:ascii="Palatino" w:hAnsi="Palatino" w:cstheme="majorHAnsi"/>
          <w:sz w:val="21"/>
          <w:szCs w:val="21"/>
        </w:rPr>
        <w:t>. As you can see here, the subjects experienced poverty higher than the poverty rate at one point. Thirty-six percent of Cohort A experienced poverty during all of the 12 years under review. In addition, when data for three years—from 2003 to 2005—were considered, all cohorts showed a high rate of persistent poverty.</w:t>
      </w:r>
    </w:p>
    <w:p w14:paraId="5E7010D0" w14:textId="62081B98" w:rsidR="005432C2" w:rsidRPr="009B7E35" w:rsidRDefault="00D450EA" w:rsidP="00383A7F">
      <w:pPr>
        <w:rPr>
          <w:rFonts w:ascii="Palatino" w:hAnsi="Palatino" w:cstheme="majorHAnsi"/>
          <w:sz w:val="21"/>
          <w:szCs w:val="21"/>
        </w:rPr>
      </w:pPr>
      <w:r>
        <w:rPr>
          <w:rFonts w:ascii="Palatino" w:hAnsi="Palatino" w:cstheme="majorHAnsi"/>
          <w:sz w:val="21"/>
          <w:szCs w:val="21"/>
        </w:rPr>
        <w:t xml:space="preserve">   </w:t>
      </w:r>
      <w:r w:rsidR="00FB7EF8">
        <w:rPr>
          <w:rFonts w:ascii="Palatino" w:hAnsi="Palatino" w:cstheme="majorHAnsi"/>
          <w:noProof/>
          <w:sz w:val="21"/>
          <w:szCs w:val="21"/>
        </w:rPr>
        <w:drawing>
          <wp:inline distT="0" distB="0" distL="0" distR="0" wp14:anchorId="2B7687E4" wp14:editId="3777FD7A">
            <wp:extent cx="5939790" cy="4449951"/>
            <wp:effectExtent l="0" t="0" r="381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49951"/>
                    </a:xfrm>
                    <a:prstGeom prst="rect">
                      <a:avLst/>
                    </a:prstGeom>
                    <a:noFill/>
                    <a:ln>
                      <a:noFill/>
                    </a:ln>
                  </pic:spPr>
                </pic:pic>
              </a:graphicData>
            </a:graphic>
          </wp:inline>
        </w:drawing>
      </w:r>
      <w:r>
        <w:rPr>
          <w:rFonts w:ascii="Palatino" w:hAnsi="Palatino" w:cstheme="majorHAnsi"/>
          <w:sz w:val="21"/>
          <w:szCs w:val="21"/>
        </w:rPr>
        <w:t xml:space="preserve">   </w:t>
      </w:r>
      <w:r w:rsidR="00190B96">
        <w:rPr>
          <w:rFonts w:ascii="Palatino" w:hAnsi="Palatino" w:cstheme="majorHAnsi"/>
          <w:sz w:val="21"/>
          <w:szCs w:val="21"/>
        </w:rPr>
        <w:t>Table 4</w:t>
      </w:r>
      <w:r w:rsidR="005432C2" w:rsidRPr="009B7E35">
        <w:rPr>
          <w:rFonts w:ascii="Palatino" w:hAnsi="Palatino" w:cstheme="majorHAnsi"/>
          <w:sz w:val="21"/>
          <w:szCs w:val="21"/>
        </w:rPr>
        <w:t xml:space="preserve"> shows the results of a logistic regression analysis that determines which related factors cause persistent poverty. As you can see from the odds ratio, compared to the ‘sustained marriage group’, those who have remained unmarried or are separated or bereaved are at a higher risk of persistent poverty. Furthermore, with regard to continuous employment, those who have left their work are also at a higher risk. Other factors responsible for causing persistent poverty include low levels of education and number of children. These results indicate that the factors that I had mentioned earlier as causing an increase in the recent poverty rate are similar to those that cause persistent poverty. </w:t>
      </w:r>
    </w:p>
    <w:p w14:paraId="0C41DABA" w14:textId="3778FBE5" w:rsidR="005432C2" w:rsidRPr="009B7E35" w:rsidRDefault="00D450EA" w:rsidP="00383A7F">
      <w:pPr>
        <w:rPr>
          <w:rFonts w:ascii="Palatino" w:hAnsi="Palatino" w:cstheme="majorHAnsi"/>
          <w:sz w:val="21"/>
          <w:szCs w:val="21"/>
        </w:rPr>
      </w:pPr>
      <w:r>
        <w:rPr>
          <w:rFonts w:ascii="Palatino" w:hAnsi="Palatino" w:cstheme="majorHAnsi"/>
          <w:sz w:val="21"/>
          <w:szCs w:val="21"/>
        </w:rPr>
        <w:t xml:space="preserve">  </w:t>
      </w:r>
      <w:r w:rsidR="008C3602">
        <w:rPr>
          <w:rFonts w:ascii="Palatino" w:hAnsi="Palatino" w:cstheme="majorHAnsi"/>
          <w:noProof/>
          <w:sz w:val="21"/>
          <w:szCs w:val="21"/>
        </w:rPr>
        <w:drawing>
          <wp:inline distT="0" distB="0" distL="0" distR="0" wp14:anchorId="0A6C6238" wp14:editId="3ABC2BE0">
            <wp:extent cx="5939790" cy="4814589"/>
            <wp:effectExtent l="0" t="0" r="3810" b="1143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4814589"/>
                    </a:xfrm>
                    <a:prstGeom prst="rect">
                      <a:avLst/>
                    </a:prstGeom>
                    <a:noFill/>
                    <a:ln>
                      <a:noFill/>
                    </a:ln>
                  </pic:spPr>
                </pic:pic>
              </a:graphicData>
            </a:graphic>
          </wp:inline>
        </w:drawing>
      </w:r>
      <w:r>
        <w:rPr>
          <w:rFonts w:ascii="Palatino" w:hAnsi="Palatino" w:cstheme="majorHAnsi"/>
          <w:sz w:val="21"/>
          <w:szCs w:val="21"/>
        </w:rPr>
        <w:t xml:space="preserve">     </w:t>
      </w:r>
      <w:r w:rsidR="005432C2" w:rsidRPr="009B7E35">
        <w:rPr>
          <w:rFonts w:ascii="Palatino" w:hAnsi="Palatino" w:cstheme="majorHAnsi"/>
          <w:sz w:val="21"/>
          <w:szCs w:val="21"/>
        </w:rPr>
        <w:t xml:space="preserve">While the JPSC conducts surveys on women (and their households), the </w:t>
      </w:r>
      <w:r w:rsidR="005432C2" w:rsidRPr="00D450EA">
        <w:rPr>
          <w:rFonts w:ascii="Palatino" w:hAnsi="Palatino" w:cstheme="majorHAnsi"/>
          <w:i/>
          <w:sz w:val="21"/>
          <w:szCs w:val="21"/>
        </w:rPr>
        <w:t>Keio</w:t>
      </w:r>
      <w:r w:rsidR="005432C2" w:rsidRPr="009B7E35">
        <w:rPr>
          <w:rFonts w:ascii="Palatino" w:hAnsi="Palatino" w:cstheme="majorHAnsi"/>
          <w:sz w:val="21"/>
          <w:szCs w:val="21"/>
        </w:rPr>
        <w:t xml:space="preserve"> Household Panel Survey (KHPS), conducted by the </w:t>
      </w:r>
      <w:r w:rsidR="005432C2" w:rsidRPr="00D450EA">
        <w:rPr>
          <w:rFonts w:ascii="Palatino" w:hAnsi="Palatino" w:cstheme="majorHAnsi"/>
          <w:i/>
          <w:sz w:val="21"/>
          <w:szCs w:val="21"/>
        </w:rPr>
        <w:t>Keio</w:t>
      </w:r>
      <w:r w:rsidR="005432C2" w:rsidRPr="009B7E35">
        <w:rPr>
          <w:rFonts w:ascii="Palatino" w:hAnsi="Palatino" w:cstheme="majorHAnsi"/>
          <w:sz w:val="21"/>
          <w:szCs w:val="21"/>
        </w:rPr>
        <w:t xml:space="preserve"> University since 2004, targets men and women aged 20–60 years. There were 4,005 participants in the first year of its survey. </w:t>
      </w:r>
      <w:r w:rsidR="005432C2" w:rsidRPr="00D450EA">
        <w:rPr>
          <w:rFonts w:ascii="Palatino" w:hAnsi="Palatino" w:cstheme="majorHAnsi"/>
          <w:i/>
          <w:sz w:val="21"/>
          <w:szCs w:val="21"/>
        </w:rPr>
        <w:t>Ishii</w:t>
      </w:r>
      <w:r w:rsidR="005432C2" w:rsidRPr="009B7E35">
        <w:rPr>
          <w:rFonts w:ascii="Palatino" w:hAnsi="Palatino" w:cstheme="majorHAnsi"/>
          <w:sz w:val="21"/>
          <w:szCs w:val="21"/>
        </w:rPr>
        <w:t xml:space="preserve"> and </w:t>
      </w:r>
      <w:r w:rsidR="005432C2" w:rsidRPr="00D450EA">
        <w:rPr>
          <w:rFonts w:ascii="Palatino" w:hAnsi="Palatino" w:cstheme="majorHAnsi"/>
          <w:i/>
          <w:sz w:val="21"/>
          <w:szCs w:val="21"/>
        </w:rPr>
        <w:t>Yamada</w:t>
      </w:r>
      <w:r w:rsidR="005432C2" w:rsidRPr="009B7E35">
        <w:rPr>
          <w:rFonts w:ascii="Palatino" w:hAnsi="Palatino" w:cstheme="majorHAnsi"/>
          <w:sz w:val="21"/>
          <w:szCs w:val="21"/>
        </w:rPr>
        <w:t xml:space="preserve"> used three years of KHPS income data (from 2004 to 2006) to analyze poverty dynamics. Furthermore, </w:t>
      </w:r>
      <w:proofErr w:type="spellStart"/>
      <w:r w:rsidR="005432C2" w:rsidRPr="00D450EA">
        <w:rPr>
          <w:rFonts w:ascii="Palatino" w:hAnsi="Palatino" w:cstheme="majorHAnsi"/>
          <w:i/>
          <w:sz w:val="21"/>
          <w:szCs w:val="21"/>
        </w:rPr>
        <w:t>Ishi</w:t>
      </w:r>
      <w:proofErr w:type="spellEnd"/>
      <w:r w:rsidR="005432C2" w:rsidRPr="00D450EA">
        <w:rPr>
          <w:rFonts w:ascii="Palatino" w:hAnsi="Palatino" w:cstheme="majorHAnsi"/>
          <w:i/>
          <w:sz w:val="21"/>
          <w:szCs w:val="21"/>
        </w:rPr>
        <w:t xml:space="preserve"> </w:t>
      </w:r>
      <w:r w:rsidR="005432C2" w:rsidRPr="009B7E35">
        <w:rPr>
          <w:rFonts w:ascii="Palatino" w:hAnsi="Palatino" w:cstheme="majorHAnsi"/>
          <w:sz w:val="21"/>
          <w:szCs w:val="21"/>
        </w:rPr>
        <w:t xml:space="preserve">added data for the years 2006 to 2008, and analyzed data from late 2000, when the poverty rate was found to have generally increased. The poverty line for these analyses was 50% of the median equivalent income. A part of the analyses is shown in </w:t>
      </w:r>
      <w:r w:rsidR="008D1CAB">
        <w:rPr>
          <w:rFonts w:ascii="Palatino" w:hAnsi="Palatino" w:cstheme="majorHAnsi"/>
          <w:sz w:val="21"/>
          <w:szCs w:val="21"/>
        </w:rPr>
        <w:t>Table5</w:t>
      </w:r>
      <w:r w:rsidR="005432C2" w:rsidRPr="009B7E35">
        <w:rPr>
          <w:rFonts w:ascii="Palatino" w:hAnsi="Palatino" w:cstheme="majorHAnsi"/>
          <w:sz w:val="21"/>
          <w:szCs w:val="21"/>
        </w:rPr>
        <w:t>. While the poverty experience rate using KHPS data is slightly lower than that shown by data from JPSC, it doubles at one point. Another feature is that compared to the results from 2004 to 2005, in the three years from 2006 to 2008, a slightly higher percentage of people appear to be living in persistent poverty. This also indicates that they have been living in a fixed state of poverty.</w:t>
      </w:r>
    </w:p>
    <w:p w14:paraId="5C0DF6CC" w14:textId="77777777" w:rsidR="008444BF" w:rsidRPr="009B7E35" w:rsidRDefault="00D450EA" w:rsidP="008444BF">
      <w:pPr>
        <w:rPr>
          <w:rFonts w:ascii="Palatino" w:hAnsi="Palatino" w:cstheme="majorHAnsi"/>
          <w:sz w:val="21"/>
          <w:szCs w:val="21"/>
        </w:rPr>
      </w:pPr>
      <w:r>
        <w:rPr>
          <w:rFonts w:ascii="Palatino" w:hAnsi="Palatino" w:cstheme="majorHAnsi"/>
          <w:sz w:val="21"/>
          <w:szCs w:val="21"/>
        </w:rPr>
        <w:t xml:space="preserve">      </w:t>
      </w:r>
      <w:r w:rsidR="008444BF" w:rsidRPr="009B7E35">
        <w:rPr>
          <w:rFonts w:ascii="Palatino" w:hAnsi="Palatino" w:cstheme="majorHAnsi"/>
          <w:sz w:val="21"/>
          <w:szCs w:val="21"/>
        </w:rPr>
        <w:t>As the book edited by</w:t>
      </w:r>
      <w:r w:rsidR="008444BF" w:rsidRPr="00D450EA">
        <w:rPr>
          <w:rFonts w:ascii="Palatino" w:hAnsi="Palatino" w:cstheme="majorHAnsi"/>
          <w:i/>
          <w:sz w:val="21"/>
          <w:szCs w:val="21"/>
        </w:rPr>
        <w:t xml:space="preserve"> Higuchi</w:t>
      </w:r>
      <w:r w:rsidR="008444BF" w:rsidRPr="009B7E35">
        <w:rPr>
          <w:rFonts w:ascii="Palatino" w:hAnsi="Palatino" w:cstheme="majorHAnsi"/>
          <w:sz w:val="21"/>
          <w:szCs w:val="21"/>
        </w:rPr>
        <w:t xml:space="preserve"> et al. reports, </w:t>
      </w:r>
      <w:r w:rsidR="008444BF" w:rsidRPr="00D450EA">
        <w:rPr>
          <w:rFonts w:ascii="Palatino" w:hAnsi="Palatino" w:cstheme="majorHAnsi"/>
          <w:i/>
          <w:sz w:val="21"/>
          <w:szCs w:val="21"/>
        </w:rPr>
        <w:t>Keio</w:t>
      </w:r>
      <w:r w:rsidR="008444BF" w:rsidRPr="009B7E35">
        <w:rPr>
          <w:rFonts w:ascii="Palatino" w:hAnsi="Palatino" w:cstheme="majorHAnsi"/>
          <w:sz w:val="21"/>
          <w:szCs w:val="21"/>
        </w:rPr>
        <w:t xml:space="preserve"> University started the Japan Household Panel Survey (JHPS) in 2009 with the aim to micro-simulate the extent of relative poverty caused by social transfer factors such as social security and tax systems. On the basis of this research, </w:t>
      </w:r>
      <w:proofErr w:type="spellStart"/>
      <w:r w:rsidR="008444BF" w:rsidRPr="00D450EA">
        <w:rPr>
          <w:rFonts w:ascii="Palatino" w:hAnsi="Palatino" w:cstheme="majorHAnsi"/>
          <w:i/>
          <w:sz w:val="21"/>
          <w:szCs w:val="21"/>
        </w:rPr>
        <w:t>Komamura</w:t>
      </w:r>
      <w:proofErr w:type="spellEnd"/>
      <w:r w:rsidR="008444BF" w:rsidRPr="00D450EA">
        <w:rPr>
          <w:rFonts w:ascii="Palatino" w:hAnsi="Palatino" w:cstheme="majorHAnsi"/>
          <w:i/>
          <w:sz w:val="21"/>
          <w:szCs w:val="21"/>
        </w:rPr>
        <w:t xml:space="preserve">, Yamada </w:t>
      </w:r>
      <w:r w:rsidR="008444BF" w:rsidRPr="009B7E35">
        <w:rPr>
          <w:rFonts w:ascii="Palatino" w:hAnsi="Palatino" w:cstheme="majorHAnsi"/>
          <w:sz w:val="21"/>
          <w:szCs w:val="21"/>
        </w:rPr>
        <w:t xml:space="preserve">and </w:t>
      </w:r>
      <w:proofErr w:type="spellStart"/>
      <w:r w:rsidR="008444BF" w:rsidRPr="00D450EA">
        <w:rPr>
          <w:rFonts w:ascii="Palatino" w:hAnsi="Palatino" w:cstheme="majorHAnsi"/>
          <w:i/>
          <w:sz w:val="21"/>
          <w:szCs w:val="21"/>
        </w:rPr>
        <w:t>Shikata</w:t>
      </w:r>
      <w:proofErr w:type="spellEnd"/>
      <w:r w:rsidR="008444BF" w:rsidRPr="009B7E35">
        <w:rPr>
          <w:rFonts w:ascii="Palatino" w:hAnsi="Palatino" w:cstheme="majorHAnsi"/>
          <w:sz w:val="21"/>
          <w:szCs w:val="21"/>
        </w:rPr>
        <w:t xml:space="preserve"> attributed the large number of working poor in Japan to the lack of social security benefits for the working generation, and the burden of social security payments. </w:t>
      </w:r>
    </w:p>
    <w:p w14:paraId="498C1636" w14:textId="1E3CE365" w:rsidR="008444BF" w:rsidRPr="009B7E35" w:rsidRDefault="008444BF" w:rsidP="008444BF">
      <w:pPr>
        <w:rPr>
          <w:rFonts w:ascii="Palatino" w:hAnsi="Palatino" w:cstheme="majorHAnsi"/>
          <w:sz w:val="21"/>
          <w:szCs w:val="21"/>
        </w:rPr>
      </w:pPr>
      <w:r>
        <w:rPr>
          <w:rFonts w:ascii="Palatino" w:hAnsi="Palatino" w:cstheme="majorHAnsi"/>
          <w:sz w:val="21"/>
          <w:szCs w:val="21"/>
        </w:rPr>
        <w:t xml:space="preserve">      </w:t>
      </w:r>
      <w:r w:rsidRPr="009B7E35">
        <w:rPr>
          <w:rFonts w:ascii="Palatino" w:hAnsi="Palatino" w:cstheme="majorHAnsi"/>
          <w:sz w:val="21"/>
          <w:szCs w:val="21"/>
        </w:rPr>
        <w:t>Many other panel surveys have been conducted in recent years, and we can expect the development of poverty dynamics analysis using forthcoming data from such surveys.</w:t>
      </w:r>
    </w:p>
    <w:p w14:paraId="14C6D6A6" w14:textId="77777777" w:rsidR="008D1CAB" w:rsidRDefault="008D1CAB" w:rsidP="00383A7F">
      <w:pPr>
        <w:rPr>
          <w:rFonts w:ascii="Palatino" w:hAnsi="Palatino" w:cstheme="majorHAnsi"/>
          <w:sz w:val="21"/>
          <w:szCs w:val="21"/>
        </w:rPr>
      </w:pPr>
    </w:p>
    <w:p w14:paraId="1A1ED6BB" w14:textId="20EC6200" w:rsidR="008D1CAB" w:rsidRDefault="008D1CAB" w:rsidP="00383A7F">
      <w:pPr>
        <w:rPr>
          <w:rFonts w:ascii="Palatino" w:hAnsi="Palatino" w:cstheme="majorHAnsi"/>
          <w:sz w:val="21"/>
          <w:szCs w:val="21"/>
        </w:rPr>
      </w:pPr>
    </w:p>
    <w:p w14:paraId="7DEBB3FC" w14:textId="27785858" w:rsidR="005432C2" w:rsidRPr="009B7E35" w:rsidRDefault="008D1CAB" w:rsidP="00383A7F">
      <w:pPr>
        <w:rPr>
          <w:rFonts w:ascii="Palatino" w:hAnsi="Palatino" w:cstheme="majorHAnsi"/>
          <w:sz w:val="21"/>
          <w:szCs w:val="21"/>
        </w:rPr>
      </w:pPr>
      <w:r>
        <w:rPr>
          <w:rFonts w:ascii="Palatino" w:hAnsi="Palatino" w:cstheme="majorHAnsi"/>
          <w:noProof/>
          <w:sz w:val="21"/>
          <w:szCs w:val="21"/>
        </w:rPr>
        <w:drawing>
          <wp:inline distT="0" distB="0" distL="0" distR="0" wp14:anchorId="75FFD76A" wp14:editId="2B8E7224">
            <wp:extent cx="5939790" cy="8201799"/>
            <wp:effectExtent l="0" t="0" r="3810" b="2540"/>
            <wp:docPr id="3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201799"/>
                    </a:xfrm>
                    <a:prstGeom prst="rect">
                      <a:avLst/>
                    </a:prstGeom>
                    <a:noFill/>
                    <a:ln>
                      <a:noFill/>
                    </a:ln>
                  </pic:spPr>
                </pic:pic>
              </a:graphicData>
            </a:graphic>
          </wp:inline>
        </w:drawing>
      </w:r>
      <w:r w:rsidR="00D450EA">
        <w:rPr>
          <w:rFonts w:ascii="Palatino" w:hAnsi="Palatino" w:cstheme="majorHAnsi"/>
          <w:sz w:val="21"/>
          <w:szCs w:val="21"/>
        </w:rPr>
        <w:t xml:space="preserve"> </w:t>
      </w:r>
    </w:p>
    <w:p w14:paraId="5664B7B7" w14:textId="77777777" w:rsidR="005432C2" w:rsidRPr="009B7E35" w:rsidRDefault="005432C2" w:rsidP="00270C80">
      <w:pPr>
        <w:outlineLvl w:val="0"/>
        <w:rPr>
          <w:rFonts w:ascii="Palatino" w:hAnsi="Palatino" w:cstheme="majorHAnsi"/>
          <w:b/>
          <w:szCs w:val="24"/>
        </w:rPr>
      </w:pPr>
      <w:r w:rsidRPr="009B7E35">
        <w:rPr>
          <w:rFonts w:ascii="Palatino" w:hAnsi="Palatino" w:cstheme="majorHAnsi"/>
          <w:b/>
          <w:szCs w:val="24"/>
        </w:rPr>
        <w:t>5. Poverty-line studies</w:t>
      </w:r>
      <w:r w:rsidR="000C06C6" w:rsidRPr="009B7E35">
        <w:rPr>
          <w:rFonts w:ascii="Palatino" w:hAnsi="Palatino" w:cstheme="majorHAnsi"/>
          <w:b/>
          <w:szCs w:val="24"/>
        </w:rPr>
        <w:t xml:space="preserve">  ( Minimum Cost of Living)</w:t>
      </w:r>
    </w:p>
    <w:p w14:paraId="70E8DA58" w14:textId="4A646DCF" w:rsidR="005432C2" w:rsidRDefault="005432C2" w:rsidP="00383A7F">
      <w:pPr>
        <w:rPr>
          <w:rFonts w:ascii="Palatino" w:hAnsi="Palatino" w:cstheme="majorHAnsi"/>
          <w:sz w:val="21"/>
          <w:szCs w:val="21"/>
        </w:rPr>
      </w:pPr>
      <w:r w:rsidRPr="009B7E35">
        <w:rPr>
          <w:rFonts w:ascii="Palatino" w:hAnsi="Palatino" w:cstheme="majorHAnsi"/>
          <w:sz w:val="21"/>
          <w:szCs w:val="21"/>
        </w:rPr>
        <w:t xml:space="preserve">The above studies used 50% of the median equivalent income or social assistance level as the poverty line to measure poverty. However, concerns among researchers regarding other methods of determining the poverty line have increased, as seen in </w:t>
      </w:r>
      <w:r w:rsidR="008444BF">
        <w:rPr>
          <w:rFonts w:ascii="Palatino" w:hAnsi="Palatino" w:cstheme="majorHAnsi"/>
          <w:sz w:val="21"/>
          <w:szCs w:val="21"/>
        </w:rPr>
        <w:t>Table 6</w:t>
      </w:r>
      <w:r w:rsidRPr="009B7E35">
        <w:rPr>
          <w:rFonts w:ascii="Palatino" w:hAnsi="Palatino" w:cstheme="majorHAnsi"/>
          <w:sz w:val="21"/>
          <w:szCs w:val="21"/>
        </w:rPr>
        <w:t>.</w:t>
      </w:r>
    </w:p>
    <w:p w14:paraId="09D57C63" w14:textId="72A3B5F8" w:rsidR="008444BF" w:rsidRDefault="00C25CD8" w:rsidP="00383A7F">
      <w:pPr>
        <w:rPr>
          <w:rFonts w:ascii="Palatino" w:hAnsi="Palatino" w:cstheme="majorHAnsi"/>
          <w:sz w:val="21"/>
          <w:szCs w:val="21"/>
        </w:rPr>
      </w:pPr>
      <w:r>
        <w:rPr>
          <w:rFonts w:ascii="Palatino" w:hAnsi="Palatino" w:cstheme="majorHAnsi"/>
          <w:noProof/>
          <w:sz w:val="21"/>
          <w:szCs w:val="21"/>
        </w:rPr>
        <w:drawing>
          <wp:inline distT="0" distB="0" distL="0" distR="0" wp14:anchorId="6E2CD0C2" wp14:editId="19F5B4E1">
            <wp:extent cx="5939790" cy="3326636"/>
            <wp:effectExtent l="0" t="0" r="3810" b="1270"/>
            <wp:docPr id="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26636"/>
                    </a:xfrm>
                    <a:prstGeom prst="rect">
                      <a:avLst/>
                    </a:prstGeom>
                    <a:noFill/>
                    <a:ln>
                      <a:noFill/>
                    </a:ln>
                  </pic:spPr>
                </pic:pic>
              </a:graphicData>
            </a:graphic>
          </wp:inline>
        </w:drawing>
      </w:r>
    </w:p>
    <w:p w14:paraId="5E11A1CD" w14:textId="77777777" w:rsidR="008444BF" w:rsidRPr="009B7E35" w:rsidRDefault="008444BF" w:rsidP="00383A7F">
      <w:pPr>
        <w:rPr>
          <w:rFonts w:ascii="Palatino" w:hAnsi="Palatino" w:cstheme="majorHAnsi"/>
          <w:sz w:val="21"/>
          <w:szCs w:val="21"/>
        </w:rPr>
      </w:pPr>
    </w:p>
    <w:p w14:paraId="300D4D44" w14:textId="0228E313"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One such method (I had mentioned briefly earlier) is the minimum basket-of-goods approach. By using this approach, Kanazawa and a </w:t>
      </w:r>
      <w:proofErr w:type="spellStart"/>
      <w:r w:rsidR="005432C2" w:rsidRPr="009B7E35">
        <w:rPr>
          <w:rFonts w:ascii="Palatino" w:hAnsi="Palatino" w:cstheme="majorHAnsi"/>
          <w:sz w:val="21"/>
          <w:szCs w:val="21"/>
        </w:rPr>
        <w:t>labour</w:t>
      </w:r>
      <w:proofErr w:type="spellEnd"/>
      <w:r w:rsidR="005432C2" w:rsidRPr="009B7E35">
        <w:rPr>
          <w:rFonts w:ascii="Palatino" w:hAnsi="Palatino" w:cstheme="majorHAnsi"/>
          <w:sz w:val="21"/>
          <w:szCs w:val="21"/>
        </w:rPr>
        <w:t xml:space="preserve"> union jointly calculated the minimum standard of living for six types of households in the Tokyo metropolitan area. Kanazawa surveyed possessions, properties, and living conditions with help from </w:t>
      </w:r>
      <w:proofErr w:type="spellStart"/>
      <w:r w:rsidR="005432C2" w:rsidRPr="009B7E35">
        <w:rPr>
          <w:rFonts w:ascii="Palatino" w:hAnsi="Palatino" w:cstheme="majorHAnsi"/>
          <w:sz w:val="21"/>
          <w:szCs w:val="21"/>
        </w:rPr>
        <w:t>labour</w:t>
      </w:r>
      <w:proofErr w:type="spellEnd"/>
      <w:r w:rsidR="005432C2" w:rsidRPr="009B7E35">
        <w:rPr>
          <w:rFonts w:ascii="Palatino" w:hAnsi="Palatino" w:cstheme="majorHAnsi"/>
          <w:sz w:val="21"/>
          <w:szCs w:val="21"/>
        </w:rPr>
        <w:t xml:space="preserve"> unions. Using these results, he calculated the minimum cost of living by including possessions owned by 70% of the target population, adopting food costs that covered the minimum amount of food necessary to meet nutritional needs, and so on. In addition, he added 10% of the minimum standard of living as contingency. This estimation was then also conducted in other areas such as </w:t>
      </w:r>
      <w:r w:rsidR="005432C2" w:rsidRPr="00C25CD8">
        <w:rPr>
          <w:rFonts w:ascii="Palatino" w:hAnsi="Palatino" w:cstheme="majorHAnsi"/>
          <w:i/>
          <w:sz w:val="21"/>
          <w:szCs w:val="21"/>
        </w:rPr>
        <w:t>Tohoku</w:t>
      </w:r>
      <w:r w:rsidR="005432C2" w:rsidRPr="009B7E35">
        <w:rPr>
          <w:rFonts w:ascii="Palatino" w:hAnsi="Palatino" w:cstheme="majorHAnsi"/>
          <w:sz w:val="21"/>
          <w:szCs w:val="21"/>
        </w:rPr>
        <w:t>.</w:t>
      </w:r>
    </w:p>
    <w:p w14:paraId="095A07BE" w14:textId="759C0061"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Next, </w:t>
      </w:r>
      <w:r w:rsidR="005432C2" w:rsidRPr="00C25CD8">
        <w:rPr>
          <w:rFonts w:ascii="Palatino" w:hAnsi="Palatino" w:cstheme="majorHAnsi"/>
          <w:i/>
          <w:sz w:val="21"/>
          <w:szCs w:val="21"/>
        </w:rPr>
        <w:t>Iwata</w:t>
      </w:r>
      <w:r w:rsidR="005432C2" w:rsidRPr="009B7E35">
        <w:rPr>
          <w:rFonts w:ascii="Palatino" w:hAnsi="Palatino" w:cstheme="majorHAnsi"/>
          <w:sz w:val="21"/>
          <w:szCs w:val="21"/>
        </w:rPr>
        <w:t xml:space="preserve"> and </w:t>
      </w:r>
      <w:r w:rsidR="005432C2" w:rsidRPr="00C25CD8">
        <w:rPr>
          <w:rFonts w:ascii="Palatino" w:hAnsi="Palatino" w:cstheme="majorHAnsi"/>
          <w:i/>
          <w:sz w:val="21"/>
          <w:szCs w:val="21"/>
        </w:rPr>
        <w:t>Murakami</w:t>
      </w:r>
      <w:r w:rsidR="005432C2" w:rsidRPr="009B7E35">
        <w:rPr>
          <w:rFonts w:ascii="Palatino" w:hAnsi="Palatino" w:cstheme="majorHAnsi"/>
          <w:sz w:val="21"/>
          <w:szCs w:val="21"/>
        </w:rPr>
        <w:t xml:space="preserve"> surveyed the low-income household budgets in the </w:t>
      </w:r>
      <w:r w:rsidR="005432C2" w:rsidRPr="00C25CD8">
        <w:rPr>
          <w:rFonts w:ascii="Palatino" w:hAnsi="Palatino" w:cstheme="majorHAnsi"/>
          <w:i/>
          <w:sz w:val="21"/>
          <w:szCs w:val="21"/>
        </w:rPr>
        <w:t>Tokyo</w:t>
      </w:r>
      <w:r w:rsidR="005432C2" w:rsidRPr="009B7E35">
        <w:rPr>
          <w:rFonts w:ascii="Palatino" w:hAnsi="Palatino" w:cstheme="majorHAnsi"/>
          <w:sz w:val="21"/>
          <w:szCs w:val="21"/>
        </w:rPr>
        <w:t xml:space="preserve"> metropolitan area from 2008 to 2010. Coupled with micro-data from NSFIE, they found the inflection point or resistance point of consumption level. Here, a decreasing level of consumption parallel to a decreasing level of income resists a fall, and attempts to maintain the minimum standard, or in other words, the consumption level at the dividing point of deficit and surplus. </w:t>
      </w:r>
      <w:r w:rsidR="005432C2" w:rsidRPr="00C25CD8">
        <w:rPr>
          <w:rFonts w:ascii="Palatino" w:hAnsi="Palatino" w:cstheme="majorHAnsi"/>
          <w:i/>
          <w:sz w:val="21"/>
          <w:szCs w:val="21"/>
        </w:rPr>
        <w:t>Iwata</w:t>
      </w:r>
      <w:r w:rsidR="005432C2" w:rsidRPr="009B7E35">
        <w:rPr>
          <w:rFonts w:ascii="Palatino" w:hAnsi="Palatino" w:cstheme="majorHAnsi"/>
          <w:sz w:val="21"/>
          <w:szCs w:val="21"/>
        </w:rPr>
        <w:t xml:space="preserve"> and</w:t>
      </w:r>
      <w:r w:rsidR="005432C2" w:rsidRPr="00C25CD8">
        <w:rPr>
          <w:rFonts w:ascii="Palatino" w:hAnsi="Palatino" w:cstheme="majorHAnsi"/>
          <w:i/>
          <w:sz w:val="21"/>
          <w:szCs w:val="21"/>
        </w:rPr>
        <w:t xml:space="preserve"> Murakami </w:t>
      </w:r>
      <w:r w:rsidR="005432C2" w:rsidRPr="009B7E35">
        <w:rPr>
          <w:rFonts w:ascii="Palatino" w:hAnsi="Palatino" w:cstheme="majorHAnsi"/>
          <w:sz w:val="21"/>
          <w:szCs w:val="21"/>
        </w:rPr>
        <w:t xml:space="preserve">reported this level as an estimate of the minimum cost of living. </w:t>
      </w:r>
    </w:p>
    <w:p w14:paraId="5DE7B5ED" w14:textId="7CC77715"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Furthermore, in 2009,</w:t>
      </w:r>
      <w:r w:rsidR="005432C2" w:rsidRPr="00C25CD8">
        <w:rPr>
          <w:rFonts w:ascii="Palatino" w:hAnsi="Palatino" w:cstheme="majorHAnsi"/>
          <w:i/>
          <w:sz w:val="21"/>
          <w:szCs w:val="21"/>
        </w:rPr>
        <w:t xml:space="preserve"> Yamada</w:t>
      </w:r>
      <w:r w:rsidR="005432C2" w:rsidRPr="009B7E35">
        <w:rPr>
          <w:rFonts w:ascii="Palatino" w:hAnsi="Palatino" w:cstheme="majorHAnsi"/>
          <w:sz w:val="21"/>
          <w:szCs w:val="21"/>
        </w:rPr>
        <w:t xml:space="preserve"> et al. conducted a subjective study on the minimum cost of living using an internet-based survey. This survey investigated the minimum standard of living by asking two questions: ‘How much money do you need to live after excluding all excesses and leaving just the bare minimum?’ and ‘How much money would you need to lead a modest social life and be presentable to others?’ These surveys were known as the K survey and the T survey, respectively. In addition, the survey investigated the price of 26 items in different categories, such as daily consumable goods and durable goods. The benefit of this survey was that the respondents could see their total estimated spending amount being automatically calculated as they filled the price of each item, and they could compare it with their actual spending. Median scores of each item in both surveys were used for comparison with the social assistance level. </w:t>
      </w:r>
    </w:p>
    <w:p w14:paraId="37FC8149" w14:textId="77777777" w:rsidR="00C25CD8" w:rsidRPr="009B7E35" w:rsidRDefault="00C25CD8" w:rsidP="00C25CD8">
      <w:pPr>
        <w:rPr>
          <w:rFonts w:ascii="Palatino" w:hAnsi="Palatino" w:cstheme="majorHAnsi"/>
          <w:sz w:val="21"/>
          <w:szCs w:val="21"/>
        </w:rPr>
      </w:pPr>
      <w:r>
        <w:rPr>
          <w:rFonts w:ascii="Palatino" w:hAnsi="Palatino" w:cstheme="majorHAnsi"/>
          <w:sz w:val="21"/>
          <w:szCs w:val="21"/>
        </w:rPr>
        <w:t xml:space="preserve">       </w:t>
      </w:r>
      <w:r w:rsidRPr="009B7E35">
        <w:rPr>
          <w:rFonts w:ascii="Palatino" w:hAnsi="Palatino" w:cstheme="majorHAnsi"/>
          <w:sz w:val="21"/>
          <w:szCs w:val="21"/>
        </w:rPr>
        <w:t>Finally, some Japanese researchers have also applied the British Minimum Income Standard Approach while conducting poverty line studies. We will discuss this topic in this afternoon’s session.</w:t>
      </w:r>
    </w:p>
    <w:p w14:paraId="1D3B1DE4" w14:textId="6CF89C7E" w:rsidR="005432C2"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Figure 1</w:t>
      </w:r>
      <w:r>
        <w:rPr>
          <w:rFonts w:ascii="Palatino" w:hAnsi="Palatino" w:cstheme="majorHAnsi"/>
          <w:sz w:val="21"/>
          <w:szCs w:val="21"/>
        </w:rPr>
        <w:t>2</w:t>
      </w:r>
      <w:r w:rsidR="005432C2" w:rsidRPr="009B7E35">
        <w:rPr>
          <w:rFonts w:ascii="Palatino" w:hAnsi="Palatino" w:cstheme="majorHAnsi"/>
          <w:sz w:val="21"/>
          <w:szCs w:val="21"/>
        </w:rPr>
        <w:t xml:space="preserve"> compares social assistance levels for </w:t>
      </w:r>
      <w:r>
        <w:rPr>
          <w:rFonts w:ascii="Palatino" w:hAnsi="Palatino" w:cstheme="majorHAnsi"/>
          <w:sz w:val="21"/>
          <w:szCs w:val="21"/>
        </w:rPr>
        <w:t>one-person</w:t>
      </w:r>
      <w:r w:rsidR="005432C2" w:rsidRPr="009B7E35">
        <w:rPr>
          <w:rFonts w:ascii="Palatino" w:hAnsi="Palatino" w:cstheme="majorHAnsi"/>
          <w:sz w:val="21"/>
          <w:szCs w:val="21"/>
        </w:rPr>
        <w:t xml:space="preserve"> households using the minimum cost of living calculated by four recent studies employing different methodologies for poverty line studies. Note that the analysis excludes elderly households. </w:t>
      </w:r>
    </w:p>
    <w:p w14:paraId="457DB4FE" w14:textId="6F745257" w:rsidR="00C25CD8" w:rsidRDefault="00C25CD8" w:rsidP="00383A7F">
      <w:pPr>
        <w:rPr>
          <w:rFonts w:ascii="Palatino" w:hAnsi="Palatino" w:cstheme="majorHAnsi"/>
          <w:sz w:val="21"/>
          <w:szCs w:val="21"/>
        </w:rPr>
      </w:pPr>
      <w:r>
        <w:rPr>
          <w:rFonts w:ascii="Palatino" w:hAnsi="Palatino" w:cstheme="majorHAnsi"/>
          <w:noProof/>
          <w:sz w:val="21"/>
          <w:szCs w:val="21"/>
        </w:rPr>
        <w:drawing>
          <wp:inline distT="0" distB="0" distL="0" distR="0" wp14:anchorId="421E8A01" wp14:editId="1FC0D840">
            <wp:extent cx="5939790" cy="3519060"/>
            <wp:effectExtent l="0" t="0" r="3810" b="12065"/>
            <wp:docPr id="3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519060"/>
                    </a:xfrm>
                    <a:prstGeom prst="rect">
                      <a:avLst/>
                    </a:prstGeom>
                    <a:noFill/>
                    <a:ln>
                      <a:noFill/>
                    </a:ln>
                  </pic:spPr>
                </pic:pic>
              </a:graphicData>
            </a:graphic>
          </wp:inline>
        </w:drawing>
      </w:r>
    </w:p>
    <w:p w14:paraId="2C4D3CD8" w14:textId="77777777" w:rsidR="005432C2" w:rsidRPr="009B7E35" w:rsidRDefault="005432C2" w:rsidP="00383A7F">
      <w:pPr>
        <w:rPr>
          <w:rFonts w:ascii="Palatino" w:hAnsi="Palatino" w:cstheme="majorHAnsi"/>
          <w:sz w:val="21"/>
          <w:szCs w:val="21"/>
        </w:rPr>
      </w:pPr>
    </w:p>
    <w:p w14:paraId="2A23F387" w14:textId="77777777" w:rsidR="005432C2" w:rsidRPr="009B7E35" w:rsidRDefault="005432C2" w:rsidP="00270C80">
      <w:pPr>
        <w:outlineLvl w:val="0"/>
        <w:rPr>
          <w:rFonts w:ascii="Palatino" w:hAnsi="Palatino" w:cstheme="majorHAnsi"/>
          <w:b/>
          <w:szCs w:val="24"/>
        </w:rPr>
      </w:pPr>
      <w:r w:rsidRPr="009B7E35">
        <w:rPr>
          <w:rFonts w:ascii="Palatino" w:hAnsi="Palatino" w:cstheme="majorHAnsi"/>
          <w:b/>
          <w:szCs w:val="24"/>
        </w:rPr>
        <w:t>6. Social exclusion</w:t>
      </w:r>
    </w:p>
    <w:p w14:paraId="40423957" w14:textId="189878D9"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Needless to say, social exclusion is a European concept imported to Japan. It is difficult to use and is unpopular in Japan.</w:t>
      </w:r>
      <w:r w:rsidR="005432C2" w:rsidRPr="009B7E35">
        <w:rPr>
          <w:rFonts w:ascii="Palatino" w:hAnsi="Palatino" w:cstheme="majorHAnsi"/>
          <w:sz w:val="21"/>
          <w:szCs w:val="21"/>
        </w:rPr>
        <w:t xml:space="preserve">　</w:t>
      </w:r>
      <w:r w:rsidR="005432C2" w:rsidRPr="009B7E35">
        <w:rPr>
          <w:rFonts w:ascii="Palatino" w:hAnsi="Palatino" w:cstheme="majorHAnsi"/>
          <w:sz w:val="21"/>
          <w:szCs w:val="21"/>
        </w:rPr>
        <w:t xml:space="preserve">However, this concept did interest some researchers, particularly after the burst of the bubble economy, when a large number of homeless people, called ‘rough sleepers’ started living on the streets in various cities (including Tokyo and Osaka) . A monetary measure is not sufficient to grasp all the nuances of poverty, and this is where the concept of social exclusion can help. Social exclusion covers the chain of poverty, process of marginalization, and possibly, even the actions of people within it. In doing so, it may throw light on the situation faced by homeless people, and the reasons leading to homelessness. </w:t>
      </w:r>
    </w:p>
    <w:p w14:paraId="479E9A64" w14:textId="2C60E60A"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Numerous surveys of homeless people have been conducted in various areas from the late 1990s onwards. A vast majority of the homeless were single men, mostly in their late fifties. However, the reasons leading to their becoming homeless were not necessarily the same. Using the concept of social exclusion,</w:t>
      </w:r>
      <w:r w:rsidR="005432C2" w:rsidRPr="00C25CD8">
        <w:rPr>
          <w:rFonts w:ascii="Palatino" w:hAnsi="Palatino" w:cstheme="majorHAnsi"/>
          <w:i/>
          <w:sz w:val="21"/>
          <w:szCs w:val="21"/>
        </w:rPr>
        <w:t xml:space="preserve"> Iwata</w:t>
      </w:r>
      <w:r w:rsidR="005432C2" w:rsidRPr="009B7E35">
        <w:rPr>
          <w:rFonts w:ascii="Palatino" w:hAnsi="Palatino" w:cstheme="majorHAnsi"/>
          <w:sz w:val="21"/>
          <w:szCs w:val="21"/>
        </w:rPr>
        <w:t xml:space="preserve">, </w:t>
      </w:r>
      <w:proofErr w:type="spellStart"/>
      <w:r w:rsidR="005432C2" w:rsidRPr="00C25CD8">
        <w:rPr>
          <w:rFonts w:ascii="Palatino" w:hAnsi="Palatino" w:cstheme="majorHAnsi"/>
          <w:i/>
          <w:sz w:val="21"/>
          <w:szCs w:val="21"/>
        </w:rPr>
        <w:t>Nishizawa</w:t>
      </w:r>
      <w:proofErr w:type="spellEnd"/>
      <w:r w:rsidR="005432C2" w:rsidRPr="009B7E35">
        <w:rPr>
          <w:rFonts w:ascii="Palatino" w:hAnsi="Palatino" w:cstheme="majorHAnsi"/>
          <w:sz w:val="21"/>
          <w:szCs w:val="21"/>
        </w:rPr>
        <w:t>, and</w:t>
      </w:r>
      <w:r w:rsidR="005432C2" w:rsidRPr="00C25CD8">
        <w:rPr>
          <w:rFonts w:ascii="Palatino" w:hAnsi="Palatino" w:cstheme="majorHAnsi"/>
          <w:i/>
          <w:sz w:val="21"/>
          <w:szCs w:val="21"/>
        </w:rPr>
        <w:t xml:space="preserve"> </w:t>
      </w:r>
      <w:proofErr w:type="spellStart"/>
      <w:r w:rsidR="005432C2" w:rsidRPr="00C25CD8">
        <w:rPr>
          <w:rFonts w:ascii="Palatino" w:hAnsi="Palatino" w:cstheme="majorHAnsi"/>
          <w:i/>
          <w:sz w:val="21"/>
          <w:szCs w:val="21"/>
        </w:rPr>
        <w:t>Fukuhara</w:t>
      </w:r>
      <w:proofErr w:type="spellEnd"/>
      <w:r w:rsidR="005432C2" w:rsidRPr="009B7E35">
        <w:rPr>
          <w:rFonts w:ascii="Palatino" w:hAnsi="Palatino" w:cstheme="majorHAnsi"/>
          <w:sz w:val="21"/>
          <w:szCs w:val="21"/>
        </w:rPr>
        <w:t xml:space="preserve"> reconstructed their life histories in order to analyze the poverty chain mechanisms contributing to this state of affairs. They could identify certain elements such as unstable employment, debt problems, non-marriage, divorce, low education, prior experience of living in job-related accommodation, and so on.</w:t>
      </w:r>
    </w:p>
    <w:p w14:paraId="2A95DBBA" w14:textId="7D1A4583" w:rsidR="005432C2" w:rsidRPr="009B7E35" w:rsidRDefault="00C25CD8"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Furthermore, around 2007, a new type of homelessness emerged. In this case, homeless people actually lived in all-night amusement facilities, and restaurants such as Internet cafes. The mass media referred to these hidden homeless people as the ‘net-café refugees’. Compared to the rough sleepers, these people comprised a much younger generation and included women. In order to analyze the exclusion process involved in this phenomenon,</w:t>
      </w:r>
      <w:r w:rsidR="005432C2" w:rsidRPr="00C25CD8">
        <w:rPr>
          <w:rFonts w:ascii="Palatino" w:hAnsi="Palatino" w:cstheme="majorHAnsi"/>
          <w:i/>
          <w:sz w:val="21"/>
          <w:szCs w:val="21"/>
        </w:rPr>
        <w:t xml:space="preserve"> Iwata</w:t>
      </w:r>
      <w:r w:rsidR="005432C2" w:rsidRPr="009B7E35">
        <w:rPr>
          <w:rFonts w:ascii="Palatino" w:hAnsi="Palatino" w:cstheme="majorHAnsi"/>
          <w:sz w:val="21"/>
          <w:szCs w:val="21"/>
        </w:rPr>
        <w:t xml:space="preserve"> and </w:t>
      </w:r>
      <w:proofErr w:type="spellStart"/>
      <w:r w:rsidR="005432C2" w:rsidRPr="00C25CD8">
        <w:rPr>
          <w:rFonts w:ascii="Palatino" w:hAnsi="Palatino" w:cstheme="majorHAnsi"/>
          <w:i/>
          <w:sz w:val="21"/>
          <w:szCs w:val="21"/>
        </w:rPr>
        <w:t>Iijima</w:t>
      </w:r>
      <w:proofErr w:type="spellEnd"/>
      <w:r w:rsidR="005432C2" w:rsidRPr="009B7E35">
        <w:rPr>
          <w:rFonts w:ascii="Palatino" w:hAnsi="Palatino" w:cstheme="majorHAnsi"/>
          <w:sz w:val="21"/>
          <w:szCs w:val="21"/>
        </w:rPr>
        <w:t xml:space="preserve"> </w:t>
      </w:r>
      <w:r w:rsidR="00C13480">
        <w:rPr>
          <w:rFonts w:ascii="Palatino" w:hAnsi="Palatino" w:cstheme="majorHAnsi"/>
          <w:sz w:val="21"/>
          <w:szCs w:val="21"/>
        </w:rPr>
        <w:t>anal</w:t>
      </w:r>
      <w:r w:rsidR="00C13480">
        <w:rPr>
          <w:rFonts w:ascii="Palatino" w:hAnsi="Palatino" w:cstheme="majorHAnsi" w:hint="eastAsia"/>
          <w:sz w:val="21"/>
          <w:szCs w:val="21"/>
        </w:rPr>
        <w:t>y</w:t>
      </w:r>
      <w:r>
        <w:rPr>
          <w:rFonts w:ascii="Palatino" w:hAnsi="Palatino" w:cstheme="majorHAnsi"/>
          <w:sz w:val="21"/>
          <w:szCs w:val="21"/>
        </w:rPr>
        <w:t>zed</w:t>
      </w:r>
      <w:r w:rsidR="005432C2" w:rsidRPr="009B7E35">
        <w:rPr>
          <w:rFonts w:ascii="Palatino" w:hAnsi="Palatino" w:cstheme="majorHAnsi"/>
          <w:sz w:val="21"/>
          <w:szCs w:val="21"/>
        </w:rPr>
        <w:t xml:space="preserve"> </w:t>
      </w:r>
      <w:r w:rsidR="00C13480">
        <w:rPr>
          <w:rFonts w:ascii="Palatino" w:hAnsi="Palatino" w:cstheme="majorHAnsi"/>
          <w:sz w:val="21"/>
          <w:szCs w:val="21"/>
        </w:rPr>
        <w:t xml:space="preserve">the data from </w:t>
      </w:r>
      <w:r w:rsidR="005432C2" w:rsidRPr="009B7E35">
        <w:rPr>
          <w:rFonts w:ascii="Palatino" w:hAnsi="Palatino" w:cstheme="majorHAnsi"/>
          <w:sz w:val="21"/>
          <w:szCs w:val="21"/>
        </w:rPr>
        <w:t xml:space="preserve">in-depth interviews with the net-cafe refugees. They discovered that long-term unemployment and family breakdown are major causal factors. </w:t>
      </w:r>
    </w:p>
    <w:p w14:paraId="521B298A" w14:textId="3485731A" w:rsidR="005432C2" w:rsidRDefault="00C13480"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Figure 1</w:t>
      </w:r>
      <w:r>
        <w:rPr>
          <w:rFonts w:ascii="Palatino" w:hAnsi="Palatino" w:cstheme="majorHAnsi"/>
          <w:sz w:val="21"/>
          <w:szCs w:val="21"/>
        </w:rPr>
        <w:t>3</w:t>
      </w:r>
      <w:r w:rsidR="005432C2" w:rsidRPr="009B7E35">
        <w:rPr>
          <w:rFonts w:ascii="Palatino" w:hAnsi="Palatino" w:cstheme="majorHAnsi"/>
          <w:sz w:val="21"/>
          <w:szCs w:val="21"/>
        </w:rPr>
        <w:t xml:space="preserve"> shows the age distributions of rough sleepers, net café refugees, and unemployed males. You can see that the line depicting net café refugees overlaps the one for unemployed males. This indicates that in an ‘unstable society’, many people of working age face the constant risk of losing not only their jobs but also their residences.</w:t>
      </w:r>
    </w:p>
    <w:p w14:paraId="7E9D7C77" w14:textId="254F399B" w:rsidR="00C13480" w:rsidRPr="009B7E35" w:rsidRDefault="00944739" w:rsidP="00383A7F">
      <w:pPr>
        <w:rPr>
          <w:rFonts w:ascii="Palatino" w:hAnsi="Palatino" w:cstheme="majorHAnsi"/>
          <w:sz w:val="21"/>
          <w:szCs w:val="21"/>
        </w:rPr>
      </w:pPr>
      <w:r>
        <w:rPr>
          <w:rFonts w:ascii="Palatino" w:hAnsi="Palatino" w:cstheme="majorHAnsi"/>
          <w:noProof/>
          <w:sz w:val="21"/>
          <w:szCs w:val="21"/>
        </w:rPr>
        <w:drawing>
          <wp:inline distT="0" distB="0" distL="0" distR="0" wp14:anchorId="0423BE65" wp14:editId="424946FC">
            <wp:extent cx="5939790" cy="2609267"/>
            <wp:effectExtent l="0" t="0" r="3810" b="6985"/>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609267"/>
                    </a:xfrm>
                    <a:prstGeom prst="rect">
                      <a:avLst/>
                    </a:prstGeom>
                    <a:noFill/>
                    <a:ln>
                      <a:noFill/>
                    </a:ln>
                  </pic:spPr>
                </pic:pic>
              </a:graphicData>
            </a:graphic>
          </wp:inline>
        </w:drawing>
      </w:r>
    </w:p>
    <w:p w14:paraId="77156B18" w14:textId="7ABCE121" w:rsidR="005432C2" w:rsidRPr="009B7E35" w:rsidRDefault="00C13480"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In fact, following the shock of Lehman Brothers declaring bankruptcy in the autumn of 2008, many dispatched and temporary workers who previously lived in company dormitories lost both their jobs and dwellings simultaneously. To help these workers, the Anti-Poverty Network set up makeshift shelters called </w:t>
      </w:r>
      <w:proofErr w:type="spellStart"/>
      <w:r w:rsidR="005432C2" w:rsidRPr="009B7E35">
        <w:rPr>
          <w:rFonts w:ascii="Palatino" w:hAnsi="Palatino" w:cstheme="majorHAnsi"/>
          <w:i/>
          <w:sz w:val="21"/>
          <w:szCs w:val="21"/>
        </w:rPr>
        <w:t>Haken-mura</w:t>
      </w:r>
      <w:proofErr w:type="spellEnd"/>
      <w:r w:rsidR="005432C2" w:rsidRPr="009B7E35">
        <w:rPr>
          <w:rFonts w:ascii="Palatino" w:hAnsi="Palatino" w:cstheme="majorHAnsi"/>
          <w:sz w:val="21"/>
          <w:szCs w:val="21"/>
        </w:rPr>
        <w:t xml:space="preserve"> (or dispatched workers’ villages), during the New Year holiday in Hibiya Park in Tokyo. Almost 500 workers stayed in the </w:t>
      </w:r>
      <w:proofErr w:type="spellStart"/>
      <w:r w:rsidR="005432C2" w:rsidRPr="009B7E35">
        <w:rPr>
          <w:rFonts w:ascii="Palatino" w:hAnsi="Palatino" w:cstheme="majorHAnsi"/>
          <w:i/>
          <w:sz w:val="21"/>
          <w:szCs w:val="21"/>
        </w:rPr>
        <w:t>Haken</w:t>
      </w:r>
      <w:proofErr w:type="spellEnd"/>
      <w:r w:rsidR="005432C2" w:rsidRPr="009B7E35">
        <w:rPr>
          <w:rFonts w:ascii="Palatino" w:hAnsi="Palatino" w:cstheme="majorHAnsi"/>
          <w:i/>
          <w:sz w:val="21"/>
          <w:szCs w:val="21"/>
        </w:rPr>
        <w:t xml:space="preserve"> </w:t>
      </w:r>
      <w:proofErr w:type="spellStart"/>
      <w:r w:rsidR="005432C2" w:rsidRPr="009B7E35">
        <w:rPr>
          <w:rFonts w:ascii="Palatino" w:hAnsi="Palatino" w:cstheme="majorHAnsi"/>
          <w:i/>
          <w:sz w:val="21"/>
          <w:szCs w:val="21"/>
        </w:rPr>
        <w:t>mnura</w:t>
      </w:r>
      <w:proofErr w:type="spellEnd"/>
      <w:r w:rsidR="005432C2" w:rsidRPr="009B7E35">
        <w:rPr>
          <w:rFonts w:ascii="Palatino" w:hAnsi="Palatino" w:cstheme="majorHAnsi"/>
          <w:sz w:val="21"/>
          <w:szCs w:val="21"/>
        </w:rPr>
        <w:t xml:space="preserve">, which captured a great deal of media attention at the start of 2009. In fact, the secretary-general of the Anti-Poverty Network, Mr. Makoto Yuasa, is slated to speak here tomorrow. </w:t>
      </w:r>
    </w:p>
    <w:p w14:paraId="0BBA815E" w14:textId="5B5C4528" w:rsidR="005432C2" w:rsidRPr="009B7E35" w:rsidRDefault="008C14CE"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This recent spate of the loss of dwellings and jobs reminds us of the importance of comprehending the spatial dimension of poverty, as seen in studies on slums in the past. Figure 1</w:t>
      </w:r>
      <w:r w:rsidR="00944739">
        <w:rPr>
          <w:rFonts w:ascii="Palatino" w:hAnsi="Palatino" w:cstheme="majorHAnsi"/>
          <w:sz w:val="21"/>
          <w:szCs w:val="21"/>
        </w:rPr>
        <w:t>4</w:t>
      </w:r>
      <w:r w:rsidR="005432C2" w:rsidRPr="009B7E35">
        <w:rPr>
          <w:rFonts w:ascii="Palatino" w:hAnsi="Palatino" w:cstheme="majorHAnsi"/>
          <w:sz w:val="21"/>
          <w:szCs w:val="21"/>
        </w:rPr>
        <w:t xml:space="preserve"> provides an analysis of the locations rough sleepers and net café refugees used to call home, and which, in many respects, hide their poverty. These include various types of ‘job-associated accommodations’, including company dormitories, rented apartments, or live-in work situations; ‘cheap lodgings’, such as capsule hotels and cheap hostels; and even hospitals or welfare facilities. Given that many of these descriptions do not fall under the definition of the term ‘housing’, we cannot be certain about the number of people affected by the spatial dimension of poverty. </w:t>
      </w:r>
    </w:p>
    <w:p w14:paraId="0D019A31" w14:textId="5F1EC899" w:rsidR="005432C2" w:rsidRPr="009B7E35" w:rsidRDefault="008C14CE" w:rsidP="00383A7F">
      <w:pPr>
        <w:rPr>
          <w:rFonts w:ascii="Palatino" w:hAnsi="Palatino" w:cstheme="majorHAnsi"/>
          <w:sz w:val="21"/>
          <w:szCs w:val="21"/>
        </w:rPr>
      </w:pPr>
      <w:r>
        <w:rPr>
          <w:rFonts w:ascii="Palatino" w:hAnsi="Palatino" w:cstheme="majorHAnsi"/>
          <w:sz w:val="21"/>
          <w:szCs w:val="21"/>
        </w:rPr>
        <w:t xml:space="preserve">   </w:t>
      </w:r>
      <w:r w:rsidR="00944739">
        <w:rPr>
          <w:rFonts w:ascii="Palatino" w:hAnsi="Palatino" w:cstheme="majorHAnsi"/>
          <w:noProof/>
          <w:sz w:val="21"/>
          <w:szCs w:val="21"/>
        </w:rPr>
        <mc:AlternateContent>
          <mc:Choice Requires="wps">
            <w:drawing>
              <wp:anchor distT="0" distB="0" distL="114300" distR="114300" simplePos="0" relativeHeight="251659264" behindDoc="0" locked="0" layoutInCell="1" allowOverlap="1" wp14:anchorId="60997298" wp14:editId="4FDA6C34">
                <wp:simplePos x="0" y="0"/>
                <wp:positionH relativeFrom="column">
                  <wp:posOffset>169545</wp:posOffset>
                </wp:positionH>
                <wp:positionV relativeFrom="paragraph">
                  <wp:posOffset>0</wp:posOffset>
                </wp:positionV>
                <wp:extent cx="6103620" cy="914400"/>
                <wp:effectExtent l="0" t="0" r="0" b="0"/>
                <wp:wrapSquare wrapText="bothSides"/>
                <wp:docPr id="6" name="テキスト 6"/>
                <wp:cNvGraphicFramePr/>
                <a:graphic xmlns:a="http://schemas.openxmlformats.org/drawingml/2006/main">
                  <a:graphicData uri="http://schemas.microsoft.com/office/word/2010/wordprocessingShape">
                    <wps:wsp>
                      <wps:cNvSpPr txBox="1"/>
                      <wps:spPr>
                        <a:xfrm>
                          <a:off x="0" y="0"/>
                          <a:ext cx="61036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565EB" w14:textId="05D53354" w:rsidR="000E4F99" w:rsidRPr="00944739" w:rsidRDefault="000E4F99" w:rsidP="00944739">
                            <w:pPr>
                              <w:spacing w:line="240" w:lineRule="auto"/>
                              <w:rPr>
                                <w:rFonts w:asciiTheme="minorHAnsi" w:hAnsiTheme="minorHAnsi"/>
                              </w:rPr>
                            </w:pPr>
                            <w:r>
                              <w:rPr>
                                <w:rFonts w:asciiTheme="minorHAnsi" w:hAnsiTheme="minorHAnsi"/>
                              </w:rPr>
                              <w:t xml:space="preserve">Figure12 </w:t>
                            </w:r>
                            <w:r w:rsidRPr="00944739">
                              <w:rPr>
                                <w:rFonts w:asciiTheme="minorHAnsi" w:hAnsiTheme="minorHAnsi"/>
                              </w:rPr>
                              <w:t>The excluded people</w:t>
                            </w:r>
                            <w:r>
                              <w:rPr>
                                <w:rFonts w:asciiTheme="minorHAnsi" w:hAnsiTheme="minorHAnsi"/>
                              </w:rPr>
                              <w:t xml:space="preserve"> </w:t>
                            </w:r>
                            <w:r w:rsidRPr="00944739">
                              <w:rPr>
                                <w:rFonts w:asciiTheme="minorHAnsi" w:hAnsiTheme="minorHAnsi"/>
                              </w:rPr>
                              <w:t>flow back and forth</w:t>
                            </w:r>
                            <w:r w:rsidRPr="00944739">
                              <w:rPr>
                                <w:rFonts w:asciiTheme="minorHAnsi" w:hAnsiTheme="minorHAnsi"/>
                              </w:rPr>
                              <w:br/>
                              <w:t xml:space="preserve"> between marginalized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テキスト 6" o:spid="_x0000_s1026" type="#_x0000_t202" style="position:absolute;left:0;text-align:left;margin-left:13.35pt;margin-top:0;width:480.6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" filled="f" stroked="f">
                <v:textbox>
                  <w:txbxContent>
                    <w:p w14:paraId="444565EB" w14:textId="05D53354" w:rsidR="000E4F99" w:rsidRPr="00944739" w:rsidRDefault="000E4F99" w:rsidP="00944739">
                      <w:pPr>
                        <w:spacing w:line="240" w:lineRule="auto"/>
                        <w:rPr>
                          <w:rFonts w:asciiTheme="minorHAnsi" w:hAnsiTheme="minorHAnsi"/>
                        </w:rPr>
                      </w:pPr>
                      <w:r>
                        <w:rPr>
                          <w:rFonts w:asciiTheme="minorHAnsi" w:hAnsiTheme="minorHAnsi"/>
                        </w:rPr>
                        <w:t xml:space="preserve">Figure12 </w:t>
                      </w:r>
                      <w:r w:rsidRPr="00944739">
                        <w:rPr>
                          <w:rFonts w:asciiTheme="minorHAnsi" w:hAnsiTheme="minorHAnsi"/>
                        </w:rPr>
                        <w:t>The excluded people</w:t>
                      </w:r>
                      <w:r>
                        <w:rPr>
                          <w:rFonts w:asciiTheme="minorHAnsi" w:hAnsiTheme="minorHAnsi"/>
                        </w:rPr>
                        <w:t xml:space="preserve"> </w:t>
                      </w:r>
                      <w:r w:rsidRPr="00944739">
                        <w:rPr>
                          <w:rFonts w:asciiTheme="minorHAnsi" w:hAnsiTheme="minorHAnsi"/>
                        </w:rPr>
                        <w:t>flow back and forth</w:t>
                      </w:r>
                      <w:r w:rsidRPr="00944739">
                        <w:rPr>
                          <w:rFonts w:asciiTheme="minorHAnsi" w:hAnsiTheme="minorHAnsi"/>
                        </w:rPr>
                        <w:br/>
                        <w:t xml:space="preserve"> between marginalized places</w:t>
                      </w:r>
                    </w:p>
                  </w:txbxContent>
                </v:textbox>
                <w10:wrap type="square"/>
              </v:shape>
            </w:pict>
          </mc:Fallback>
        </mc:AlternateContent>
      </w:r>
      <w:r w:rsidR="00944739" w:rsidRPr="00944739">
        <w:rPr>
          <w:rFonts w:ascii="Palatino" w:hAnsi="Palatino" w:cstheme="majorHAnsi"/>
          <w:noProof/>
          <w:sz w:val="21"/>
          <w:szCs w:val="21"/>
        </w:rPr>
        <w:drawing>
          <wp:inline distT="0" distB="0" distL="0" distR="0" wp14:anchorId="5133E0EF" wp14:editId="2903989E">
            <wp:extent cx="5939790" cy="508723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087239"/>
                    </a:xfrm>
                    <a:prstGeom prst="rect">
                      <a:avLst/>
                    </a:prstGeom>
                    <a:noFill/>
                    <a:ln>
                      <a:noFill/>
                    </a:ln>
                  </pic:spPr>
                </pic:pic>
              </a:graphicData>
            </a:graphic>
          </wp:inline>
        </w:drawing>
      </w:r>
      <w:r>
        <w:rPr>
          <w:rFonts w:ascii="Palatino" w:hAnsi="Palatino" w:cstheme="majorHAnsi"/>
          <w:sz w:val="21"/>
          <w:szCs w:val="21"/>
        </w:rPr>
        <w:t xml:space="preserve">      </w:t>
      </w:r>
      <w:r w:rsidR="005432C2" w:rsidRPr="009B7E35">
        <w:rPr>
          <w:rFonts w:ascii="Palatino" w:hAnsi="Palatino" w:cstheme="majorHAnsi"/>
          <w:sz w:val="21"/>
          <w:szCs w:val="21"/>
        </w:rPr>
        <w:t>In addition to the problem of homelessness, the increasing number of suicide cases and of people who have died alone only to be found years later as skeletons have captured public attention since the end of the 1990s. Some non-profit organizations (or NPOs) have attempted to address these problems, which they view as a consequence of social isolation or social exclusion in an unstable society. The NPO Life</w:t>
      </w:r>
      <w:r w:rsidR="000C06C6" w:rsidRPr="009B7E35">
        <w:rPr>
          <w:rFonts w:ascii="Palatino" w:hAnsi="Palatino" w:cstheme="majorHAnsi"/>
          <w:sz w:val="21"/>
          <w:szCs w:val="21"/>
        </w:rPr>
        <w:t>-</w:t>
      </w:r>
      <w:r w:rsidR="005432C2" w:rsidRPr="009B7E35">
        <w:rPr>
          <w:rFonts w:ascii="Palatino" w:hAnsi="Palatino" w:cstheme="majorHAnsi"/>
          <w:sz w:val="21"/>
          <w:szCs w:val="21"/>
        </w:rPr>
        <w:t>Link recently embarked on a survey called ‘Voice of One Thousand Dead’ in collaboration with the bereaved families of suicide victims in order to describe the chain of social and personal causes of such tragedies.</w:t>
      </w:r>
    </w:p>
    <w:p w14:paraId="1184EF45" w14:textId="1034B0B3" w:rsidR="005432C2" w:rsidRPr="009B7E35" w:rsidRDefault="008C14CE"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Quantitative research is also underway in this area. For instance, Abe developed a Social Exclusion Index for the quantitative analysis of social exclusion. In 2002, she reviewed the progress in measuring social exclusion in Europe and reported that a consensus on the specificities of the Social Exclusion Index for Europe could not be reached at that time. This demonstrates the difficulty in measuring such a concept, although all parties agree to the need to measure it. Later, in 2006, the National Institute of Population and Social Security Research conducted a regional survey to establish a Social Exclusion Index applicable to Japan and performed a quantitative analysis using it. Their findings helped Abe ascertain that social exclusion and income poverty do not necessarily overlap, and that past disadvantageous experiences lead to exclusion in the present.</w:t>
      </w:r>
    </w:p>
    <w:p w14:paraId="13C67B12" w14:textId="77777777" w:rsidR="005432C2" w:rsidRPr="009B7E35" w:rsidRDefault="005432C2" w:rsidP="00383A7F">
      <w:pPr>
        <w:rPr>
          <w:rFonts w:ascii="Palatino" w:hAnsi="Palatino" w:cstheme="majorHAnsi"/>
          <w:sz w:val="21"/>
          <w:szCs w:val="21"/>
        </w:rPr>
      </w:pPr>
    </w:p>
    <w:p w14:paraId="406C1012" w14:textId="77777777" w:rsidR="005432C2" w:rsidRPr="008C14CE" w:rsidRDefault="005432C2" w:rsidP="00270C80">
      <w:pPr>
        <w:outlineLvl w:val="0"/>
        <w:rPr>
          <w:rFonts w:ascii="Palatino" w:hAnsi="Palatino" w:cstheme="majorHAnsi"/>
          <w:b/>
          <w:szCs w:val="24"/>
        </w:rPr>
      </w:pPr>
      <w:r w:rsidRPr="008C14CE">
        <w:rPr>
          <w:rFonts w:ascii="Palatino" w:hAnsi="Palatino" w:cstheme="majorHAnsi"/>
          <w:b/>
          <w:szCs w:val="24"/>
        </w:rPr>
        <w:t>7. Policy responses</w:t>
      </w:r>
    </w:p>
    <w:p w14:paraId="0CB154AA" w14:textId="506B6C9D" w:rsidR="005432C2" w:rsidRPr="009B7E35" w:rsidRDefault="008C14CE"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Sadly, the government’s response to poverty and social exclusion issues in the 1990s was non-existent. An exception was the emergency measures taken to mitigate the homelessness problem by the local governments of major cities such as Tokyo and Osaka. However, these measures were not a response to poverty and social exclusion; they came about only because the local governments could no longer ignore the growing ‘occupation’ of public spaces. </w:t>
      </w:r>
    </w:p>
    <w:p w14:paraId="0A09B43C" w14:textId="77777777" w:rsidR="005432C2" w:rsidRPr="009B7E35" w:rsidRDefault="005432C2" w:rsidP="00383A7F">
      <w:pPr>
        <w:rPr>
          <w:rFonts w:ascii="Palatino" w:hAnsi="Palatino" w:cstheme="majorHAnsi"/>
          <w:sz w:val="21"/>
          <w:szCs w:val="21"/>
        </w:rPr>
      </w:pPr>
      <w:r w:rsidRPr="009B7E35">
        <w:rPr>
          <w:rFonts w:ascii="Palatino" w:hAnsi="Palatino" w:cstheme="majorHAnsi"/>
          <w:sz w:val="21"/>
          <w:szCs w:val="21"/>
        </w:rPr>
        <w:t xml:space="preserve">Late in 2002, the central government finally introduced the Homeless Act as a temporary legislation with a ten-year term limit. However, as the Act defined the word ‘homeless’ to specifically refer to rough sleepers and concentrated on the sole goal of returning </w:t>
      </w:r>
      <w:proofErr w:type="spellStart"/>
      <w:r w:rsidRPr="009B7E35">
        <w:rPr>
          <w:rFonts w:ascii="Palatino" w:hAnsi="Palatino" w:cstheme="majorHAnsi"/>
          <w:sz w:val="21"/>
          <w:szCs w:val="21"/>
        </w:rPr>
        <w:t>labour</w:t>
      </w:r>
      <w:proofErr w:type="spellEnd"/>
      <w:r w:rsidRPr="009B7E35">
        <w:rPr>
          <w:rFonts w:ascii="Palatino" w:hAnsi="Palatino" w:cstheme="majorHAnsi"/>
          <w:sz w:val="21"/>
          <w:szCs w:val="21"/>
        </w:rPr>
        <w:t xml:space="preserve"> market, its policy effects were limited. It needed to be supplemented with measures initiated by local governments.</w:t>
      </w:r>
    </w:p>
    <w:p w14:paraId="3154174C" w14:textId="7D2D2DD3" w:rsidR="005432C2" w:rsidRPr="009B7E35" w:rsidRDefault="005432C2" w:rsidP="00383A7F">
      <w:pPr>
        <w:rPr>
          <w:rFonts w:ascii="Palatino" w:hAnsi="Palatino" w:cstheme="majorHAnsi"/>
          <w:sz w:val="21"/>
          <w:szCs w:val="21"/>
        </w:rPr>
      </w:pPr>
      <w:r w:rsidRPr="009B7E35">
        <w:rPr>
          <w:rFonts w:ascii="Palatino" w:hAnsi="Palatino" w:cstheme="majorHAnsi"/>
          <w:sz w:val="21"/>
          <w:szCs w:val="21"/>
        </w:rPr>
        <w:t>The central government also was drew lessons from the anti-poverty movements which brought about the</w:t>
      </w:r>
      <w:r w:rsidRPr="009354B6">
        <w:rPr>
          <w:rFonts w:ascii="Palatino" w:hAnsi="Palatino" w:cstheme="majorHAnsi"/>
          <w:i/>
          <w:sz w:val="21"/>
          <w:szCs w:val="21"/>
        </w:rPr>
        <w:t xml:space="preserve"> </w:t>
      </w:r>
      <w:proofErr w:type="spellStart"/>
      <w:r w:rsidRPr="009354B6">
        <w:rPr>
          <w:rFonts w:ascii="Palatino" w:hAnsi="Palatino" w:cstheme="majorHAnsi"/>
          <w:i/>
          <w:sz w:val="21"/>
          <w:szCs w:val="21"/>
        </w:rPr>
        <w:t>Hakenmura</w:t>
      </w:r>
      <w:proofErr w:type="spellEnd"/>
      <w:r w:rsidRPr="009354B6">
        <w:rPr>
          <w:rFonts w:ascii="Palatino" w:hAnsi="Palatino" w:cstheme="majorHAnsi"/>
          <w:i/>
          <w:sz w:val="21"/>
          <w:szCs w:val="21"/>
        </w:rPr>
        <w:t xml:space="preserve">. </w:t>
      </w:r>
      <w:r w:rsidRPr="009B7E35">
        <w:rPr>
          <w:rFonts w:ascii="Palatino" w:hAnsi="Palatino" w:cstheme="majorHAnsi"/>
          <w:sz w:val="21"/>
          <w:szCs w:val="21"/>
        </w:rPr>
        <w:t>The</w:t>
      </w:r>
      <w:r w:rsidRPr="009354B6">
        <w:rPr>
          <w:rFonts w:ascii="Palatino" w:hAnsi="Palatino" w:cstheme="majorHAnsi"/>
          <w:i/>
          <w:sz w:val="21"/>
          <w:szCs w:val="21"/>
        </w:rPr>
        <w:t xml:space="preserve"> </w:t>
      </w:r>
      <w:proofErr w:type="spellStart"/>
      <w:r w:rsidRPr="009354B6">
        <w:rPr>
          <w:rFonts w:ascii="Palatino" w:hAnsi="Palatino" w:cstheme="majorHAnsi"/>
          <w:i/>
          <w:sz w:val="21"/>
          <w:szCs w:val="21"/>
        </w:rPr>
        <w:t>Aso</w:t>
      </w:r>
      <w:proofErr w:type="spellEnd"/>
      <w:r w:rsidRPr="009B7E35">
        <w:rPr>
          <w:rFonts w:ascii="Palatino" w:hAnsi="Palatino" w:cstheme="majorHAnsi"/>
          <w:sz w:val="21"/>
          <w:szCs w:val="21"/>
        </w:rPr>
        <w:t xml:space="preserve"> government was the last government in power before the launch of the coalition government led by the Liberal Democratic Party of Japan and </w:t>
      </w:r>
      <w:r w:rsidRPr="009354B6">
        <w:rPr>
          <w:rFonts w:ascii="Palatino" w:hAnsi="Palatino" w:cstheme="majorHAnsi"/>
          <w:i/>
          <w:sz w:val="21"/>
          <w:szCs w:val="21"/>
        </w:rPr>
        <w:t xml:space="preserve">New </w:t>
      </w:r>
      <w:proofErr w:type="spellStart"/>
      <w:r w:rsidRPr="009354B6">
        <w:rPr>
          <w:rFonts w:ascii="Palatino" w:hAnsi="Palatino" w:cstheme="majorHAnsi"/>
          <w:i/>
          <w:sz w:val="21"/>
          <w:szCs w:val="21"/>
        </w:rPr>
        <w:t>Komeito</w:t>
      </w:r>
      <w:proofErr w:type="spellEnd"/>
      <w:r w:rsidRPr="009B7E35">
        <w:rPr>
          <w:rFonts w:ascii="Palatino" w:hAnsi="Palatino" w:cstheme="majorHAnsi"/>
          <w:sz w:val="21"/>
          <w:szCs w:val="21"/>
        </w:rPr>
        <w:t xml:space="preserve">. It introduced several emergency employment measures from the end of 2008 until its defeat in September 2009. The measures included </w:t>
      </w:r>
      <w:r w:rsidR="00CC0E09">
        <w:rPr>
          <w:rFonts w:ascii="Palatino" w:hAnsi="Palatino" w:cstheme="majorHAnsi"/>
          <w:sz w:val="21"/>
          <w:szCs w:val="21"/>
        </w:rPr>
        <w:t xml:space="preserve">vocational </w:t>
      </w:r>
      <w:r w:rsidRPr="009B7E35">
        <w:rPr>
          <w:rFonts w:ascii="Palatino" w:hAnsi="Palatino" w:cstheme="majorHAnsi"/>
          <w:sz w:val="21"/>
          <w:szCs w:val="21"/>
        </w:rPr>
        <w:t>training, livelihood support benefits</w:t>
      </w:r>
      <w:r w:rsidR="00E1491D">
        <w:rPr>
          <w:rFonts w:ascii="Palatino" w:hAnsi="Palatino" w:cstheme="majorHAnsi"/>
          <w:sz w:val="21"/>
          <w:szCs w:val="21"/>
        </w:rPr>
        <w:t>( during vocational training)</w:t>
      </w:r>
      <w:r w:rsidRPr="009B7E35">
        <w:rPr>
          <w:rFonts w:ascii="Palatino" w:hAnsi="Palatino" w:cstheme="majorHAnsi"/>
          <w:sz w:val="21"/>
          <w:szCs w:val="21"/>
        </w:rPr>
        <w:t>, a housing allowance</w:t>
      </w:r>
      <w:r w:rsidR="00E1491D">
        <w:rPr>
          <w:rFonts w:ascii="Palatino" w:hAnsi="Palatino" w:cstheme="majorHAnsi"/>
          <w:sz w:val="21"/>
          <w:szCs w:val="21"/>
        </w:rPr>
        <w:t>(up to 6 months)</w:t>
      </w:r>
      <w:r w:rsidRPr="009B7E35">
        <w:rPr>
          <w:rFonts w:ascii="Palatino" w:hAnsi="Palatino" w:cstheme="majorHAnsi"/>
          <w:sz w:val="21"/>
          <w:szCs w:val="21"/>
        </w:rPr>
        <w:t xml:space="preserve">, and several loans for job seekers and were provided for people who had become unemployed or homeless. A person was not eligible for unemployment insurance during the job-searching or job-training period. Note that livelihood support benefit and housing allowance were missing from the previous Japanese welfare state. Despite strict limits on the period </w:t>
      </w:r>
      <w:r w:rsidR="00E1491D">
        <w:rPr>
          <w:rFonts w:ascii="Palatino" w:hAnsi="Palatino" w:cstheme="majorHAnsi"/>
          <w:sz w:val="21"/>
          <w:szCs w:val="21"/>
        </w:rPr>
        <w:t xml:space="preserve">and the conditions </w:t>
      </w:r>
      <w:r w:rsidRPr="009B7E35">
        <w:rPr>
          <w:rFonts w:ascii="Palatino" w:hAnsi="Palatino" w:cstheme="majorHAnsi"/>
          <w:sz w:val="21"/>
          <w:szCs w:val="21"/>
        </w:rPr>
        <w:t>for receiving benefits, the introduction of these measures as a supplement to unemployment insurance was highly significant. In addition, the entitlement period of unemployment insurance was expanded in March 2009 from ‘1 year or longer’ to ‘6 months or longer’.</w:t>
      </w:r>
    </w:p>
    <w:p w14:paraId="020E8C9D" w14:textId="3B02806E"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Before the general election in 2009, the Democratic Party of Japan (or DPJ) proposed various anti-poverty policies (directly or otherwise) through their manifesto. One of them concerned a universal child allowance, where ¥26,000 would be paid each month to the parents for every child of junior high school age or under. This policy was aimed at not only decreasing child poverty but also raising the birth rate. Another policy—the Jobseeker’s Assistance Act—was aimed at strengthening employment measures for non-regular workers and the unemployed.</w:t>
      </w:r>
    </w:p>
    <w:p w14:paraId="033519E3" w14:textId="6A05D68C"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When the DPJ came to power, universal child allowance was introduced as a temporary legislation for a period of one year, with only 50% of the promised benefit amount. Given the political and financial difficulties of its implementation, the fate of the scheme, and whether a full allowance will be eventually payable, is unclear. We will discuss this issue further at Kyoto.</w:t>
      </w:r>
    </w:p>
    <w:p w14:paraId="272ECB72" w14:textId="29D784D8"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The Jobseeker’s </w:t>
      </w:r>
      <w:r w:rsidR="00E1491D">
        <w:rPr>
          <w:rFonts w:ascii="Palatino" w:hAnsi="Palatino" w:cstheme="majorHAnsi"/>
          <w:sz w:val="21"/>
          <w:szCs w:val="21"/>
        </w:rPr>
        <w:t>Support</w:t>
      </w:r>
      <w:r w:rsidR="005432C2" w:rsidRPr="009B7E35">
        <w:rPr>
          <w:rFonts w:ascii="Palatino" w:hAnsi="Palatino" w:cstheme="majorHAnsi"/>
          <w:sz w:val="21"/>
          <w:szCs w:val="21"/>
        </w:rPr>
        <w:t xml:space="preserve"> Act, established in October 2011, is an off-shoot of the emergency measures taken by the </w:t>
      </w:r>
      <w:proofErr w:type="spellStart"/>
      <w:r w:rsidR="005432C2" w:rsidRPr="009B7E35">
        <w:rPr>
          <w:rFonts w:ascii="Palatino" w:hAnsi="Palatino" w:cstheme="majorHAnsi"/>
          <w:sz w:val="21"/>
          <w:szCs w:val="21"/>
        </w:rPr>
        <w:t>Aso</w:t>
      </w:r>
      <w:proofErr w:type="spellEnd"/>
      <w:r w:rsidR="005432C2" w:rsidRPr="009B7E35">
        <w:rPr>
          <w:rFonts w:ascii="Palatino" w:hAnsi="Palatino" w:cstheme="majorHAnsi"/>
          <w:sz w:val="21"/>
          <w:szCs w:val="21"/>
        </w:rPr>
        <w:t xml:space="preserve"> government. The Act mandates job seeker’s </w:t>
      </w:r>
      <w:r w:rsidR="00E1491D">
        <w:rPr>
          <w:rFonts w:ascii="Palatino" w:hAnsi="Palatino" w:cstheme="majorHAnsi"/>
          <w:sz w:val="21"/>
          <w:szCs w:val="21"/>
        </w:rPr>
        <w:t xml:space="preserve">vocational </w:t>
      </w:r>
      <w:r w:rsidR="005432C2" w:rsidRPr="009B7E35">
        <w:rPr>
          <w:rFonts w:ascii="Palatino" w:hAnsi="Palatino" w:cstheme="majorHAnsi"/>
          <w:sz w:val="21"/>
          <w:szCs w:val="21"/>
        </w:rPr>
        <w:t xml:space="preserve">training, job support services, and livelihood support benefits. Housing allowance continues to remain a temporary measure. However, it is unclear whether livelihood support benefit can be classified as a new form of social assistance. Currently, this benefit is paid from the </w:t>
      </w:r>
      <w:r w:rsidR="00E1491D">
        <w:rPr>
          <w:rFonts w:ascii="Palatino" w:hAnsi="Palatino" w:cstheme="majorHAnsi"/>
          <w:sz w:val="21"/>
          <w:szCs w:val="21"/>
        </w:rPr>
        <w:t>u</w:t>
      </w:r>
      <w:r w:rsidR="005432C2" w:rsidRPr="009B7E35">
        <w:rPr>
          <w:rFonts w:ascii="Palatino" w:hAnsi="Palatino" w:cstheme="majorHAnsi"/>
          <w:sz w:val="21"/>
          <w:szCs w:val="21"/>
        </w:rPr>
        <w:t xml:space="preserve">nemployment Insurance Fund. For this reason, livelihood support benefit is now </w:t>
      </w:r>
      <w:r w:rsidR="00E1491D">
        <w:rPr>
          <w:rFonts w:ascii="Palatino" w:hAnsi="Palatino" w:cstheme="majorHAnsi"/>
          <w:sz w:val="21"/>
          <w:szCs w:val="21"/>
        </w:rPr>
        <w:t>named</w:t>
      </w:r>
      <w:r w:rsidR="005432C2" w:rsidRPr="009B7E35">
        <w:rPr>
          <w:rFonts w:ascii="Palatino" w:hAnsi="Palatino" w:cstheme="majorHAnsi"/>
          <w:sz w:val="21"/>
          <w:szCs w:val="21"/>
        </w:rPr>
        <w:t xml:space="preserve"> as ‘training benefit’.</w:t>
      </w:r>
    </w:p>
    <w:p w14:paraId="493FA4CF" w14:textId="21A659B6"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The DPJ government considers the Jobseeker’s </w:t>
      </w:r>
      <w:r w:rsidR="00E1491D">
        <w:rPr>
          <w:rFonts w:ascii="Palatino" w:hAnsi="Palatino" w:cstheme="majorHAnsi"/>
          <w:sz w:val="21"/>
          <w:szCs w:val="21"/>
        </w:rPr>
        <w:t>Support</w:t>
      </w:r>
      <w:r w:rsidR="005432C2" w:rsidRPr="009B7E35">
        <w:rPr>
          <w:rFonts w:ascii="Palatino" w:hAnsi="Palatino" w:cstheme="majorHAnsi"/>
          <w:sz w:val="21"/>
          <w:szCs w:val="21"/>
        </w:rPr>
        <w:t xml:space="preserve"> Law as the ‘second safety net’. The word ‘second’ refers to the intermediate safety net between social insurance (or mainly unemployment insurance), which is the first safety net, and social assistance, which is the final safety net. As seen in Figure 12, the second safety net is expected to stop the unemployed from slipping down into the final safety net. </w:t>
      </w:r>
    </w:p>
    <w:p w14:paraId="29A26793" w14:textId="6C44B2B4"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Of course, the government understands the need to reinforce the first safety net as well. Therefore, in 2010, it expanded the coverage of unemployment insurance from an expected employment period of ‘6 months or longer’ to that of ‘31 days or longer’. More recently, the DPJ also proposed that other social insurance benefits should cover more non-regular workers. </w:t>
      </w:r>
    </w:p>
    <w:p w14:paraId="22889FA0" w14:textId="77777777" w:rsidR="00944739" w:rsidRDefault="005432C2" w:rsidP="00383A7F">
      <w:pPr>
        <w:rPr>
          <w:rFonts w:ascii="Palatino" w:hAnsi="Palatino" w:cstheme="majorHAnsi"/>
          <w:sz w:val="21"/>
          <w:szCs w:val="21"/>
        </w:rPr>
      </w:pPr>
      <w:r w:rsidRPr="009B7E35">
        <w:rPr>
          <w:rFonts w:ascii="Palatino" w:hAnsi="Palatino" w:cstheme="majorHAnsi"/>
          <w:sz w:val="21"/>
          <w:szCs w:val="21"/>
        </w:rPr>
        <w:t xml:space="preserve">Anti-poverty groups have long insisted on expanding housing allowance and social services to include people who have been excluded thus far. </w:t>
      </w:r>
    </w:p>
    <w:p w14:paraId="566C4C17" w14:textId="05BE0AC2" w:rsidR="005432C2" w:rsidRPr="009B7E35"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The </w:t>
      </w:r>
      <w:proofErr w:type="spellStart"/>
      <w:r w:rsidR="005432C2" w:rsidRPr="009B7E35">
        <w:rPr>
          <w:rFonts w:ascii="Palatino" w:hAnsi="Palatino" w:cstheme="majorHAnsi"/>
          <w:sz w:val="21"/>
          <w:szCs w:val="21"/>
        </w:rPr>
        <w:t>Kan</w:t>
      </w:r>
      <w:proofErr w:type="spellEnd"/>
      <w:r w:rsidR="005432C2" w:rsidRPr="009B7E35">
        <w:rPr>
          <w:rFonts w:ascii="Palatino" w:hAnsi="Palatino" w:cstheme="majorHAnsi"/>
          <w:sz w:val="21"/>
          <w:szCs w:val="21"/>
        </w:rPr>
        <w:t xml:space="preserve"> government (which was the second government of DOJ), invited leaders such as Mr. Yuasa and Mr. Shimizu, the head of </w:t>
      </w:r>
      <w:r w:rsidR="005432C2" w:rsidRPr="009B7E35">
        <w:rPr>
          <w:rFonts w:ascii="Palatino" w:hAnsi="Palatino" w:cstheme="majorHAnsi"/>
          <w:i/>
          <w:sz w:val="21"/>
          <w:szCs w:val="21"/>
        </w:rPr>
        <w:t>Life</w:t>
      </w:r>
      <w:r w:rsidR="000C06C6" w:rsidRPr="009B7E35">
        <w:rPr>
          <w:rFonts w:ascii="Palatino" w:hAnsi="Palatino" w:cstheme="majorHAnsi"/>
          <w:i/>
          <w:sz w:val="21"/>
          <w:szCs w:val="21"/>
        </w:rPr>
        <w:t>-</w:t>
      </w:r>
      <w:r w:rsidR="005432C2" w:rsidRPr="009B7E35">
        <w:rPr>
          <w:rFonts w:ascii="Palatino" w:hAnsi="Palatino" w:cstheme="majorHAnsi"/>
          <w:i/>
          <w:sz w:val="21"/>
          <w:szCs w:val="21"/>
        </w:rPr>
        <w:t>Link</w:t>
      </w:r>
      <w:r w:rsidR="005432C2" w:rsidRPr="009B7E35">
        <w:rPr>
          <w:rFonts w:ascii="Palatino" w:hAnsi="Palatino" w:cstheme="majorHAnsi"/>
          <w:sz w:val="21"/>
          <w:szCs w:val="21"/>
        </w:rPr>
        <w:t xml:space="preserve"> to serve as official advisers to the Cabinet Office. They established a working group on ‘Personal Support Service’ to build an ‘inclusive society’. The Personal Support Service is intended as a personal and comprehensive approach service, and can be compared to an escort run in a marathon race. From 2010 to 2011, 19 Personal Support Service </w:t>
      </w:r>
      <w:proofErr w:type="spellStart"/>
      <w:r w:rsidR="005432C2" w:rsidRPr="009B7E35">
        <w:rPr>
          <w:rFonts w:ascii="Palatino" w:hAnsi="Palatino" w:cstheme="majorHAnsi"/>
          <w:sz w:val="21"/>
          <w:szCs w:val="21"/>
        </w:rPr>
        <w:t>Centres</w:t>
      </w:r>
      <w:proofErr w:type="spellEnd"/>
      <w:r w:rsidR="005432C2" w:rsidRPr="009B7E35">
        <w:rPr>
          <w:rFonts w:ascii="Palatino" w:hAnsi="Palatino" w:cstheme="majorHAnsi"/>
          <w:sz w:val="21"/>
          <w:szCs w:val="21"/>
        </w:rPr>
        <w:t xml:space="preserve"> were started in partnership between NPOs and the local government. </w:t>
      </w:r>
    </w:p>
    <w:p w14:paraId="7205CF61" w14:textId="6A30A778" w:rsidR="00944739" w:rsidRDefault="00944739" w:rsidP="00383A7F">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However, noteworthy as these efforts are, they are attempts to reduce poverty and social isolation excluding </w:t>
      </w:r>
      <w:proofErr w:type="spellStart"/>
      <w:r w:rsidR="005432C2" w:rsidRPr="009B7E35">
        <w:rPr>
          <w:rFonts w:ascii="Palatino" w:hAnsi="Palatino" w:cstheme="majorHAnsi"/>
          <w:i/>
          <w:sz w:val="21"/>
          <w:szCs w:val="21"/>
        </w:rPr>
        <w:t>Seikatu-hogo</w:t>
      </w:r>
      <w:proofErr w:type="spellEnd"/>
      <w:r w:rsidR="005432C2" w:rsidRPr="009B7E35">
        <w:rPr>
          <w:rFonts w:ascii="Palatino" w:hAnsi="Palatino" w:cstheme="majorHAnsi"/>
          <w:sz w:val="21"/>
          <w:szCs w:val="21"/>
        </w:rPr>
        <w:t>. If we return to Figure 1, we can see that</w:t>
      </w:r>
      <w:r w:rsidR="005432C2" w:rsidRPr="009B7E35">
        <w:rPr>
          <w:rFonts w:ascii="Palatino" w:hAnsi="Palatino" w:cstheme="majorHAnsi"/>
          <w:i/>
          <w:sz w:val="21"/>
          <w:szCs w:val="21"/>
        </w:rPr>
        <w:t xml:space="preserve"> </w:t>
      </w:r>
      <w:proofErr w:type="spellStart"/>
      <w:r w:rsidR="005432C2" w:rsidRPr="009B7E35">
        <w:rPr>
          <w:rFonts w:ascii="Palatino" w:hAnsi="Palatino" w:cstheme="majorHAnsi"/>
          <w:i/>
          <w:sz w:val="21"/>
          <w:szCs w:val="21"/>
        </w:rPr>
        <w:t>Seikatu-hogo</w:t>
      </w:r>
      <w:proofErr w:type="spellEnd"/>
      <w:r w:rsidR="005432C2" w:rsidRPr="009B7E35">
        <w:rPr>
          <w:rFonts w:ascii="Palatino" w:hAnsi="Palatino" w:cstheme="majorHAnsi"/>
          <w:sz w:val="21"/>
          <w:szCs w:val="21"/>
        </w:rPr>
        <w:t xml:space="preserve"> continues to play a considerable role in the multilayered safety net I had referred to earlier. In other words, the second safety net, which covers only small group</w:t>
      </w:r>
      <w:r w:rsidR="00757989">
        <w:rPr>
          <w:rFonts w:ascii="Palatino" w:hAnsi="Palatino" w:cstheme="majorHAnsi" w:hint="eastAsia"/>
          <w:sz w:val="21"/>
          <w:szCs w:val="21"/>
        </w:rPr>
        <w:t>（</w:t>
      </w:r>
      <w:r w:rsidR="00BD4717">
        <w:rPr>
          <w:rFonts w:ascii="Palatino" w:hAnsi="Palatino" w:cstheme="majorHAnsi"/>
          <w:sz w:val="21"/>
          <w:szCs w:val="21"/>
        </w:rPr>
        <w:t xml:space="preserve">total number of recipients of </w:t>
      </w:r>
      <w:r w:rsidR="00757989" w:rsidRPr="009B7E35">
        <w:rPr>
          <w:rFonts w:ascii="Palatino" w:hAnsi="Palatino" w:cstheme="majorHAnsi"/>
          <w:sz w:val="21"/>
          <w:szCs w:val="21"/>
        </w:rPr>
        <w:t>livelihood support benefits</w:t>
      </w:r>
      <w:r w:rsidR="00BD4717">
        <w:rPr>
          <w:rFonts w:ascii="Palatino" w:hAnsi="Palatino" w:cstheme="majorHAnsi"/>
          <w:sz w:val="21"/>
          <w:szCs w:val="21"/>
        </w:rPr>
        <w:t xml:space="preserve"> from July 2009 to December 2010 is 167,168</w:t>
      </w:r>
      <w:r w:rsidR="00BD4717">
        <w:rPr>
          <w:rFonts w:ascii="Palatino" w:hAnsi="Palatino" w:cstheme="majorHAnsi" w:hint="eastAsia"/>
          <w:sz w:val="21"/>
          <w:szCs w:val="21"/>
        </w:rPr>
        <w:t xml:space="preserve">　</w:t>
      </w:r>
      <w:r w:rsidR="00BD4717">
        <w:rPr>
          <w:rFonts w:ascii="Palatino" w:hAnsi="Palatino" w:cstheme="majorHAnsi"/>
          <w:sz w:val="21"/>
          <w:szCs w:val="21"/>
        </w:rPr>
        <w:t xml:space="preserve">,  9,287 per month </w:t>
      </w:r>
      <w:r w:rsidR="00757989">
        <w:rPr>
          <w:rFonts w:ascii="Palatino" w:hAnsi="Palatino" w:cstheme="majorHAnsi" w:hint="eastAsia"/>
          <w:sz w:val="21"/>
          <w:szCs w:val="21"/>
        </w:rPr>
        <w:t>）</w:t>
      </w:r>
      <w:r w:rsidR="005432C2" w:rsidRPr="009B7E35">
        <w:rPr>
          <w:rFonts w:ascii="Palatino" w:hAnsi="Palatino" w:cstheme="majorHAnsi"/>
          <w:sz w:val="21"/>
          <w:szCs w:val="21"/>
        </w:rPr>
        <w:t xml:space="preserve"> in short periods, does not fulfil</w:t>
      </w:r>
      <w:r w:rsidR="000C06C6" w:rsidRPr="009B7E35">
        <w:rPr>
          <w:rFonts w:ascii="Palatino" w:hAnsi="Palatino" w:cstheme="majorHAnsi"/>
          <w:sz w:val="21"/>
          <w:szCs w:val="21"/>
        </w:rPr>
        <w:t>l</w:t>
      </w:r>
      <w:r w:rsidR="005432C2" w:rsidRPr="009B7E35">
        <w:rPr>
          <w:rFonts w:ascii="Palatino" w:hAnsi="Palatino" w:cstheme="majorHAnsi"/>
          <w:sz w:val="21"/>
          <w:szCs w:val="21"/>
        </w:rPr>
        <w:t xml:space="preserve"> the expectations of the government. Thus, the people who are excluded from the first safety net would bypass the second safety net, and fall into the final safety net.</w:t>
      </w:r>
    </w:p>
    <w:p w14:paraId="13AFF875" w14:textId="31BED081" w:rsidR="005432C2" w:rsidRPr="009B7E35" w:rsidRDefault="00944739" w:rsidP="00027684">
      <w:pPr>
        <w:rPr>
          <w:rFonts w:ascii="Palatino" w:hAnsi="Palatino" w:cstheme="majorHAnsi"/>
          <w:sz w:val="21"/>
          <w:szCs w:val="21"/>
        </w:rPr>
      </w:pPr>
      <w:r>
        <w:rPr>
          <w:rFonts w:ascii="Palatino" w:hAnsi="Palatino" w:cstheme="majorHAnsi"/>
          <w:sz w:val="21"/>
          <w:szCs w:val="21"/>
        </w:rPr>
        <w:t xml:space="preserve">       </w:t>
      </w:r>
      <w:r w:rsidR="005432C2" w:rsidRPr="009B7E35">
        <w:rPr>
          <w:rFonts w:ascii="Palatino" w:hAnsi="Palatino" w:cstheme="majorHAnsi"/>
          <w:sz w:val="21"/>
          <w:szCs w:val="21"/>
        </w:rPr>
        <w:t xml:space="preserve"> In reality, the Japanese social assistance system acts as a general relief, guaranteeing a minimum standard of living to all Japanese people, ‘equally and without discrimination’. </w:t>
      </w:r>
      <w:r w:rsidR="00027684">
        <w:rPr>
          <w:rFonts w:ascii="Palatino" w:hAnsi="Palatino" w:cstheme="majorHAnsi"/>
          <w:sz w:val="21"/>
          <w:szCs w:val="21"/>
        </w:rPr>
        <w:t xml:space="preserve">It can </w:t>
      </w:r>
      <w:r w:rsidR="00D32BB0">
        <w:rPr>
          <w:rFonts w:ascii="Palatino" w:hAnsi="Palatino" w:cstheme="majorHAnsi"/>
          <w:sz w:val="21"/>
          <w:szCs w:val="21"/>
        </w:rPr>
        <w:t xml:space="preserve">also </w:t>
      </w:r>
      <w:r w:rsidR="00027684">
        <w:rPr>
          <w:rFonts w:ascii="Palatino" w:hAnsi="Palatino" w:cstheme="majorHAnsi"/>
          <w:sz w:val="21"/>
          <w:szCs w:val="21"/>
        </w:rPr>
        <w:t>p</w:t>
      </w:r>
      <w:r w:rsidR="00027684" w:rsidRPr="00027684">
        <w:rPr>
          <w:rFonts w:ascii="Palatino" w:hAnsi="Palatino" w:cstheme="majorHAnsi"/>
          <w:sz w:val="21"/>
          <w:szCs w:val="21"/>
        </w:rPr>
        <w:t xml:space="preserve">rovide vocational guidance for recipients </w:t>
      </w:r>
      <w:r w:rsidR="00D32BB0">
        <w:rPr>
          <w:rFonts w:ascii="Palatino" w:hAnsi="Palatino" w:cstheme="majorHAnsi"/>
          <w:sz w:val="21"/>
          <w:szCs w:val="21"/>
        </w:rPr>
        <w:t>in working age</w:t>
      </w:r>
      <w:r w:rsidR="00027684" w:rsidRPr="00027684">
        <w:rPr>
          <w:rFonts w:ascii="Palatino" w:hAnsi="Palatino" w:cstheme="majorHAnsi"/>
          <w:sz w:val="21"/>
          <w:szCs w:val="21"/>
        </w:rPr>
        <w:t>.</w:t>
      </w:r>
      <w:r w:rsidR="00027684">
        <w:rPr>
          <w:rFonts w:ascii="Palatino" w:hAnsi="Palatino" w:cstheme="majorHAnsi"/>
          <w:sz w:val="21"/>
          <w:szCs w:val="21"/>
        </w:rPr>
        <w:t xml:space="preserve"> </w:t>
      </w:r>
      <w:r w:rsidR="005432C2" w:rsidRPr="009B7E35">
        <w:rPr>
          <w:rFonts w:ascii="Palatino" w:hAnsi="Palatino" w:cstheme="majorHAnsi"/>
          <w:sz w:val="21"/>
          <w:szCs w:val="21"/>
        </w:rPr>
        <w:t xml:space="preserve">Therefore, as we see in Figure 13, for all intents and purposes, the second and the final safety nets are not consecutive; rather, they exist side-by-side. </w:t>
      </w:r>
      <w:r w:rsidR="00624CAE">
        <w:rPr>
          <w:rFonts w:ascii="Palatino" w:hAnsi="Palatino" w:cstheme="majorHAnsi"/>
          <w:sz w:val="21"/>
          <w:szCs w:val="21"/>
        </w:rPr>
        <w:t>In addition, c</w:t>
      </w:r>
      <w:r w:rsidR="0047712F" w:rsidRPr="0047712F">
        <w:rPr>
          <w:rFonts w:ascii="Palatino" w:hAnsi="Palatino" w:cstheme="majorHAnsi"/>
          <w:sz w:val="21"/>
          <w:szCs w:val="21"/>
        </w:rPr>
        <w:t>onsidering that it is not easy for working age people to receive social assistance, not a few poor people</w:t>
      </w:r>
      <w:r w:rsidR="004050D2">
        <w:rPr>
          <w:rFonts w:ascii="Palatino" w:hAnsi="Palatino" w:cstheme="majorHAnsi"/>
          <w:sz w:val="21"/>
          <w:szCs w:val="21"/>
        </w:rPr>
        <w:t xml:space="preserve"> have to</w:t>
      </w:r>
      <w:r w:rsidR="0047712F" w:rsidRPr="0047712F">
        <w:rPr>
          <w:rFonts w:ascii="Palatino" w:hAnsi="Palatino" w:cstheme="majorHAnsi"/>
          <w:sz w:val="21"/>
          <w:szCs w:val="21"/>
        </w:rPr>
        <w:t xml:space="preserve"> live out</w:t>
      </w:r>
      <w:r w:rsidR="004050D2">
        <w:rPr>
          <w:rFonts w:ascii="Palatino" w:hAnsi="Palatino" w:cstheme="majorHAnsi"/>
          <w:sz w:val="21"/>
          <w:szCs w:val="21"/>
        </w:rPr>
        <w:t>side</w:t>
      </w:r>
      <w:bookmarkStart w:id="0" w:name="_GoBack"/>
      <w:bookmarkEnd w:id="0"/>
      <w:r w:rsidR="0047712F" w:rsidRPr="0047712F">
        <w:rPr>
          <w:rFonts w:ascii="Palatino" w:hAnsi="Palatino" w:cstheme="majorHAnsi"/>
          <w:sz w:val="21"/>
          <w:szCs w:val="21"/>
        </w:rPr>
        <w:t xml:space="preserve"> any safety net.</w:t>
      </w:r>
    </w:p>
    <w:p w14:paraId="5A5C8867" w14:textId="77777777" w:rsidR="005432C2" w:rsidRPr="009B7E35" w:rsidRDefault="005432C2" w:rsidP="00383A7F">
      <w:pPr>
        <w:rPr>
          <w:rFonts w:ascii="Palatino" w:hAnsi="Palatino" w:cstheme="majorHAnsi"/>
          <w:sz w:val="21"/>
          <w:szCs w:val="21"/>
        </w:rPr>
      </w:pPr>
    </w:p>
    <w:p w14:paraId="2AE9D094" w14:textId="77777777" w:rsidR="005432C2" w:rsidRPr="00A72596" w:rsidRDefault="005432C2" w:rsidP="00270C80">
      <w:pPr>
        <w:outlineLvl w:val="0"/>
        <w:rPr>
          <w:rFonts w:ascii="Palatino" w:hAnsi="Palatino" w:cstheme="majorHAnsi"/>
          <w:b/>
          <w:szCs w:val="24"/>
        </w:rPr>
      </w:pPr>
      <w:r w:rsidRPr="00A72596">
        <w:rPr>
          <w:rFonts w:ascii="Palatino" w:hAnsi="Palatino" w:cstheme="majorHAnsi"/>
          <w:b/>
          <w:szCs w:val="24"/>
        </w:rPr>
        <w:t>8. Conclusion</w:t>
      </w:r>
    </w:p>
    <w:p w14:paraId="3AF78652" w14:textId="7F12E75A" w:rsidR="00A72596" w:rsidRDefault="000E4F99" w:rsidP="00A72596">
      <w:pPr>
        <w:rPr>
          <w:rFonts w:ascii="Palatino" w:hAnsi="Palatino" w:cstheme="majorHAnsi"/>
          <w:sz w:val="21"/>
          <w:szCs w:val="21"/>
        </w:rPr>
      </w:pPr>
      <w:r>
        <w:rPr>
          <w:rFonts w:ascii="Palatino" w:hAnsi="Palatino" w:cstheme="majorHAnsi"/>
          <w:sz w:val="21"/>
          <w:szCs w:val="21"/>
        </w:rPr>
        <w:t xml:space="preserve">       </w:t>
      </w:r>
      <w:r w:rsidR="005D6C74">
        <w:rPr>
          <w:rFonts w:ascii="Palatino" w:hAnsi="Palatino" w:cstheme="majorHAnsi"/>
          <w:sz w:val="21"/>
          <w:szCs w:val="21"/>
        </w:rPr>
        <w:t xml:space="preserve"> </w:t>
      </w:r>
      <w:r>
        <w:rPr>
          <w:rFonts w:ascii="Palatino" w:hAnsi="Palatino" w:cstheme="majorHAnsi"/>
          <w:sz w:val="21"/>
          <w:szCs w:val="21"/>
        </w:rPr>
        <w:t>I</w:t>
      </w:r>
      <w:r w:rsidR="00A72596" w:rsidRPr="00A72596">
        <w:rPr>
          <w:rFonts w:ascii="Palatino" w:hAnsi="Palatino" w:cstheme="majorHAnsi"/>
          <w:sz w:val="21"/>
          <w:szCs w:val="21"/>
        </w:rPr>
        <w:t>n the third period, poverty started to capture the public attention</w:t>
      </w:r>
      <w:r w:rsidR="00A72596" w:rsidRPr="00A72596">
        <w:rPr>
          <w:rFonts w:ascii="Palatino" w:hAnsi="Palatino" w:cstheme="majorHAnsi"/>
          <w:sz w:val="21"/>
          <w:szCs w:val="21"/>
        </w:rPr>
        <w:t>、</w:t>
      </w:r>
      <w:r w:rsidR="00A72596" w:rsidRPr="00A72596">
        <w:rPr>
          <w:rFonts w:ascii="Palatino" w:hAnsi="Palatino" w:cstheme="majorHAnsi"/>
          <w:sz w:val="21"/>
          <w:szCs w:val="21"/>
        </w:rPr>
        <w:t xml:space="preserve">in associated increasing the number of  social assistance recipients. Studies of poverty and social exclusion began to flourish despite the silence in the previous period. The Japanese government also started to regard poverty  as one of the political agenda. Especially, the policy for ‘ the poor of working age has shifted from the  ‘back –into- the </w:t>
      </w:r>
      <w:proofErr w:type="spellStart"/>
      <w:r w:rsidR="00A72596" w:rsidRPr="00A72596">
        <w:rPr>
          <w:rFonts w:ascii="Palatino" w:hAnsi="Palatino" w:cstheme="majorHAnsi"/>
          <w:sz w:val="21"/>
          <w:szCs w:val="21"/>
        </w:rPr>
        <w:t>labour</w:t>
      </w:r>
      <w:proofErr w:type="spellEnd"/>
      <w:r w:rsidR="00A72596" w:rsidRPr="00A72596">
        <w:rPr>
          <w:rFonts w:ascii="Palatino" w:hAnsi="Palatino" w:cstheme="majorHAnsi"/>
          <w:sz w:val="21"/>
          <w:szCs w:val="21"/>
        </w:rPr>
        <w:t xml:space="preserve"> market ’ policy to the more comprehensive approach including livelihood benefit, housing allowance and personal services. Nevertheless, under the severe financial restriction</w:t>
      </w:r>
      <w:r>
        <w:rPr>
          <w:rFonts w:ascii="Palatino" w:hAnsi="Palatino" w:cstheme="majorHAnsi"/>
          <w:sz w:val="21"/>
          <w:szCs w:val="21"/>
        </w:rPr>
        <w:t xml:space="preserve">, it seems difficult to expand </w:t>
      </w:r>
      <w:r w:rsidR="00A72596" w:rsidRPr="00A72596">
        <w:rPr>
          <w:rFonts w:ascii="Palatino" w:hAnsi="Palatino" w:cstheme="majorHAnsi"/>
          <w:sz w:val="21"/>
          <w:szCs w:val="21"/>
        </w:rPr>
        <w:t xml:space="preserve">the multi-layered safety net  further. </w:t>
      </w:r>
    </w:p>
    <w:p w14:paraId="27D64F00" w14:textId="16B8CC47" w:rsidR="00A72596" w:rsidRPr="00A72596" w:rsidRDefault="00A72596" w:rsidP="00A72596">
      <w:pPr>
        <w:rPr>
          <w:rFonts w:ascii="Palatino" w:hAnsi="Palatino" w:cstheme="majorHAnsi"/>
          <w:sz w:val="21"/>
          <w:szCs w:val="21"/>
        </w:rPr>
      </w:pPr>
      <w:r>
        <w:rPr>
          <w:rFonts w:ascii="Palatino" w:hAnsi="Palatino" w:cstheme="majorHAnsi"/>
          <w:sz w:val="21"/>
          <w:szCs w:val="21"/>
        </w:rPr>
        <w:t xml:space="preserve">     </w:t>
      </w:r>
      <w:r w:rsidRPr="00A72596">
        <w:rPr>
          <w:rFonts w:ascii="Palatino" w:hAnsi="Palatino" w:cstheme="majorHAnsi"/>
          <w:sz w:val="21"/>
          <w:szCs w:val="21"/>
        </w:rPr>
        <w:t xml:space="preserve">I hope that our three -day discussion will contribute to more productive future research and policy. </w:t>
      </w:r>
    </w:p>
    <w:p w14:paraId="02387077" w14:textId="4EA7D5CC" w:rsidR="00BA7961" w:rsidRDefault="00BA7961" w:rsidP="00A72596">
      <w:pPr>
        <w:rPr>
          <w:rFonts w:ascii="Palatino" w:hAnsi="Palatino" w:cstheme="majorHAnsi"/>
          <w:sz w:val="21"/>
          <w:szCs w:val="21"/>
        </w:rPr>
      </w:pPr>
    </w:p>
    <w:p w14:paraId="4A3F3988" w14:textId="77777777" w:rsidR="00BA7961" w:rsidRDefault="00BA7961" w:rsidP="00383A7F">
      <w:pPr>
        <w:rPr>
          <w:rFonts w:ascii="Palatino" w:hAnsi="Palatino" w:cstheme="majorHAnsi"/>
          <w:sz w:val="21"/>
          <w:szCs w:val="21"/>
        </w:rPr>
      </w:pPr>
    </w:p>
    <w:p w14:paraId="166280F0" w14:textId="214CFF5C" w:rsidR="005D6C74" w:rsidRPr="005D6C74" w:rsidRDefault="005D6C74" w:rsidP="00383A7F">
      <w:pPr>
        <w:rPr>
          <w:rFonts w:ascii="Palatino" w:hAnsi="Palatino" w:cstheme="majorHAnsi"/>
          <w:b/>
          <w:szCs w:val="24"/>
        </w:rPr>
      </w:pPr>
      <w:r w:rsidRPr="005D6C74">
        <w:rPr>
          <w:rFonts w:ascii="Palatino" w:hAnsi="Palatino" w:cstheme="majorHAnsi"/>
          <w:b/>
          <w:szCs w:val="24"/>
        </w:rPr>
        <w:t>Reference</w:t>
      </w:r>
    </w:p>
    <w:p w14:paraId="45FE9A18" w14:textId="77777777" w:rsidR="00101B2D" w:rsidRDefault="00287E36" w:rsidP="00380CB7">
      <w:pPr>
        <w:spacing w:line="240" w:lineRule="auto"/>
        <w:rPr>
          <w:rFonts w:ascii="Palatino" w:hAnsi="Palatino" w:cstheme="majorHAnsi"/>
          <w:sz w:val="20"/>
        </w:rPr>
      </w:pPr>
      <w:r w:rsidRPr="00380CB7">
        <w:rPr>
          <w:rFonts w:ascii="Palatino" w:hAnsi="Palatino" w:cstheme="majorHAnsi"/>
          <w:sz w:val="20"/>
        </w:rPr>
        <w:t>Abe(2006)</w:t>
      </w:r>
      <w:r w:rsidR="00380CB7">
        <w:rPr>
          <w:rFonts w:ascii="Palatino" w:hAnsi="Palatino" w:cstheme="majorHAnsi"/>
          <w:sz w:val="20"/>
        </w:rPr>
        <w:t xml:space="preserve"> </w:t>
      </w:r>
      <w:proofErr w:type="spellStart"/>
      <w:r w:rsidRPr="00380CB7">
        <w:rPr>
          <w:rFonts w:ascii="Palatino" w:hAnsi="Palatino" w:cstheme="majorHAnsi"/>
          <w:sz w:val="20"/>
        </w:rPr>
        <w:t>Hinkon</w:t>
      </w:r>
      <w:proofErr w:type="spellEnd"/>
      <w:r w:rsidRPr="00380CB7">
        <w:rPr>
          <w:rFonts w:ascii="Palatino" w:hAnsi="Palatino" w:cstheme="majorHAnsi"/>
          <w:sz w:val="20"/>
        </w:rPr>
        <w:t xml:space="preserve"> no </w:t>
      </w:r>
      <w:proofErr w:type="spellStart"/>
      <w:r w:rsidRPr="00380CB7">
        <w:rPr>
          <w:rFonts w:ascii="Palatino" w:hAnsi="Palatino" w:cstheme="majorHAnsi"/>
          <w:sz w:val="20"/>
        </w:rPr>
        <w:t>gennjyo</w:t>
      </w:r>
      <w:proofErr w:type="spellEnd"/>
      <w:r w:rsidRPr="00380CB7">
        <w:rPr>
          <w:rFonts w:ascii="Palatino" w:hAnsi="Palatino" w:cstheme="majorHAnsi"/>
          <w:sz w:val="20"/>
        </w:rPr>
        <w:t xml:space="preserve"> to </w:t>
      </w:r>
      <w:proofErr w:type="spellStart"/>
      <w:r w:rsidRPr="00380CB7">
        <w:rPr>
          <w:rFonts w:ascii="Palatino" w:hAnsi="Palatino" w:cstheme="majorHAnsi"/>
          <w:sz w:val="20"/>
        </w:rPr>
        <w:t>sonokadai</w:t>
      </w:r>
      <w:proofErr w:type="spellEnd"/>
      <w:r w:rsidR="00101B2D">
        <w:rPr>
          <w:rFonts w:ascii="Palatino" w:hAnsi="Palatino" w:cstheme="majorHAnsi"/>
          <w:sz w:val="20"/>
        </w:rPr>
        <w:t xml:space="preserve"> </w:t>
      </w:r>
    </w:p>
    <w:p w14:paraId="32A96B79" w14:textId="77777777" w:rsidR="00101B2D" w:rsidRDefault="00101B2D" w:rsidP="00380CB7">
      <w:pPr>
        <w:spacing w:line="240" w:lineRule="auto"/>
        <w:rPr>
          <w:rFonts w:ascii="Palatino" w:hAnsi="Palatino" w:cstheme="majorHAnsi"/>
          <w:sz w:val="20"/>
        </w:rPr>
      </w:pPr>
      <w:r>
        <w:rPr>
          <w:rFonts w:ascii="Palatino" w:hAnsi="Palatino" w:cstheme="majorHAnsi"/>
          <w:sz w:val="20"/>
        </w:rPr>
        <w:t xml:space="preserve">              </w:t>
      </w:r>
      <w:r w:rsidRPr="00101B2D">
        <w:rPr>
          <w:rFonts w:ascii="Palatino" w:hAnsi="Palatino" w:cstheme="majorHAnsi" w:hint="eastAsia"/>
          <w:sz w:val="20"/>
        </w:rPr>
        <w:t>貧困の現状とその要因：</w:t>
      </w:r>
      <w:r w:rsidRPr="00101B2D">
        <w:rPr>
          <w:rFonts w:ascii="Palatino" w:hAnsi="Palatino" w:cstheme="majorHAnsi"/>
          <w:sz w:val="20"/>
        </w:rPr>
        <w:t>1980</w:t>
      </w:r>
      <w:r w:rsidRPr="00101B2D">
        <w:rPr>
          <w:rFonts w:ascii="Palatino" w:hAnsi="Palatino" w:cstheme="majorHAnsi" w:hint="eastAsia"/>
          <w:sz w:val="20"/>
        </w:rPr>
        <w:t>〜</w:t>
      </w:r>
      <w:r w:rsidRPr="00101B2D">
        <w:rPr>
          <w:rFonts w:ascii="Palatino" w:hAnsi="Palatino" w:cstheme="majorHAnsi"/>
          <w:sz w:val="20"/>
        </w:rPr>
        <w:t>2000</w:t>
      </w:r>
      <w:r w:rsidRPr="00101B2D">
        <w:rPr>
          <w:rFonts w:ascii="Palatino" w:hAnsi="Palatino" w:cstheme="majorHAnsi"/>
          <w:sz w:val="20"/>
        </w:rPr>
        <w:t>年代の貧困率上昇の要因分析」</w:t>
      </w:r>
      <w:r w:rsidRPr="00101B2D">
        <w:rPr>
          <w:rFonts w:ascii="Palatino" w:hAnsi="Palatino" w:cstheme="majorHAnsi"/>
          <w:sz w:val="20"/>
        </w:rPr>
        <w:t>(</w:t>
      </w:r>
      <w:r w:rsidRPr="00101B2D">
        <w:rPr>
          <w:rFonts w:ascii="Palatino" w:hAnsi="Palatino" w:cstheme="majorHAnsi"/>
          <w:sz w:val="20"/>
        </w:rPr>
        <w:t>共</w:t>
      </w:r>
      <w:r w:rsidRPr="00101B2D">
        <w:rPr>
          <w:rFonts w:ascii="Palatino" w:hAnsi="Palatino" w:cstheme="majorHAnsi"/>
          <w:sz w:val="20"/>
        </w:rPr>
        <w:t xml:space="preserve">) </w:t>
      </w:r>
      <w:r w:rsidRPr="00101B2D">
        <w:rPr>
          <w:rFonts w:ascii="Palatino" w:hAnsi="Palatino" w:cstheme="majorHAnsi"/>
          <w:sz w:val="20"/>
        </w:rPr>
        <w:t>『日本</w:t>
      </w:r>
    </w:p>
    <w:p w14:paraId="3B011AA3" w14:textId="77777777" w:rsidR="00101B2D" w:rsidRDefault="00101B2D" w:rsidP="00380CB7">
      <w:pPr>
        <w:spacing w:line="240" w:lineRule="auto"/>
        <w:rPr>
          <w:rFonts w:ascii="Palatino" w:hAnsi="Palatino" w:cstheme="majorHAnsi"/>
          <w:sz w:val="20"/>
        </w:rPr>
      </w:pPr>
      <w:r>
        <w:rPr>
          <w:rFonts w:ascii="Palatino" w:hAnsi="Palatino" w:cstheme="majorHAnsi"/>
          <w:sz w:val="20"/>
        </w:rPr>
        <w:t xml:space="preserve">              </w:t>
      </w:r>
      <w:r w:rsidRPr="00101B2D">
        <w:rPr>
          <w:rFonts w:ascii="Palatino" w:hAnsi="Palatino" w:cstheme="majorHAnsi"/>
          <w:sz w:val="20"/>
        </w:rPr>
        <w:t>所得分配：格差拡大と政策の役割』</w:t>
      </w:r>
      <w:r w:rsidRPr="00101B2D">
        <w:rPr>
          <w:rFonts w:ascii="Palatino" w:hAnsi="Palatino" w:cstheme="majorHAnsi"/>
          <w:sz w:val="20"/>
        </w:rPr>
        <w:t xml:space="preserve"> (</w:t>
      </w:r>
      <w:r w:rsidRPr="00101B2D">
        <w:rPr>
          <w:rFonts w:ascii="Palatino" w:hAnsi="Palatino" w:cstheme="majorHAnsi"/>
          <w:sz w:val="20"/>
        </w:rPr>
        <w:t>編</w:t>
      </w:r>
      <w:r w:rsidRPr="00101B2D">
        <w:rPr>
          <w:rFonts w:ascii="Palatino" w:hAnsi="Palatino" w:cstheme="majorHAnsi"/>
          <w:sz w:val="20"/>
        </w:rPr>
        <w:t xml:space="preserve">) </w:t>
      </w:r>
      <w:r w:rsidRPr="00101B2D">
        <w:rPr>
          <w:rFonts w:ascii="Palatino" w:hAnsi="Palatino" w:cstheme="majorHAnsi"/>
          <w:sz w:val="20"/>
        </w:rPr>
        <w:t>小塩隆士</w:t>
      </w:r>
      <w:r w:rsidRPr="00101B2D">
        <w:rPr>
          <w:rFonts w:ascii="Palatino" w:hAnsi="Palatino" w:cstheme="majorHAnsi"/>
          <w:sz w:val="20"/>
        </w:rPr>
        <w:t xml:space="preserve">, </w:t>
      </w:r>
      <w:r w:rsidRPr="00101B2D">
        <w:rPr>
          <w:rFonts w:ascii="Palatino" w:hAnsi="Palatino" w:cstheme="majorHAnsi"/>
          <w:sz w:val="20"/>
        </w:rPr>
        <w:t>田近栄治</w:t>
      </w:r>
      <w:r w:rsidRPr="00101B2D">
        <w:rPr>
          <w:rFonts w:ascii="Palatino" w:hAnsi="Palatino" w:cstheme="majorHAnsi"/>
          <w:sz w:val="20"/>
        </w:rPr>
        <w:t xml:space="preserve">, </w:t>
      </w:r>
      <w:r w:rsidRPr="00101B2D">
        <w:rPr>
          <w:rFonts w:ascii="Palatino" w:hAnsi="Palatino" w:cstheme="majorHAnsi"/>
          <w:sz w:val="20"/>
        </w:rPr>
        <w:t>府川哲夫</w:t>
      </w:r>
      <w:r>
        <w:rPr>
          <w:rFonts w:ascii="Palatino" w:hAnsi="Palatino" w:cstheme="majorHAnsi"/>
          <w:sz w:val="20"/>
        </w:rPr>
        <w:t xml:space="preserve">   </w:t>
      </w:r>
    </w:p>
    <w:p w14:paraId="533A36A5" w14:textId="5482DBE5" w:rsidR="005432C2" w:rsidRDefault="00101B2D" w:rsidP="00270C80">
      <w:pPr>
        <w:spacing w:line="240" w:lineRule="auto"/>
        <w:outlineLvl w:val="0"/>
        <w:rPr>
          <w:rFonts w:ascii="Palatino" w:hAnsi="Palatino" w:cstheme="majorHAnsi"/>
          <w:sz w:val="20"/>
        </w:rPr>
      </w:pPr>
      <w:r>
        <w:rPr>
          <w:rFonts w:ascii="Palatino" w:hAnsi="Palatino" w:cstheme="majorHAnsi"/>
          <w:sz w:val="20"/>
        </w:rPr>
        <w:t xml:space="preserve">              Tokyo University Press, Tokyo</w:t>
      </w:r>
    </w:p>
    <w:p w14:paraId="113AAAD6" w14:textId="3B3ACE56" w:rsidR="00101B2D" w:rsidRPr="00380CB7" w:rsidRDefault="00101B2D" w:rsidP="00101B2D">
      <w:pPr>
        <w:spacing w:line="240" w:lineRule="auto"/>
        <w:rPr>
          <w:rFonts w:ascii="Palatino" w:hAnsi="Palatino" w:cstheme="majorHAnsi"/>
          <w:sz w:val="20"/>
        </w:rPr>
      </w:pPr>
      <w:r>
        <w:rPr>
          <w:rFonts w:ascii="Palatino" w:hAnsi="Palatino" w:cstheme="majorHAnsi"/>
          <w:sz w:val="20"/>
        </w:rPr>
        <w:t xml:space="preserve">Iwata(2006) </w:t>
      </w:r>
      <w:r w:rsidRPr="00101B2D">
        <w:rPr>
          <w:rFonts w:ascii="Palatino" w:hAnsi="Palatino" w:cstheme="majorHAnsi"/>
          <w:sz w:val="20"/>
        </w:rPr>
        <w:t xml:space="preserve">Social exclusion and homelessness' </w:t>
      </w:r>
      <w:r>
        <w:rPr>
          <w:rFonts w:ascii="Palatino" w:hAnsi="Palatino" w:cstheme="majorHAnsi"/>
          <w:sz w:val="20"/>
        </w:rPr>
        <w:t xml:space="preserve">Hirayama and </w:t>
      </w:r>
      <w:r w:rsidRPr="00101B2D">
        <w:rPr>
          <w:rFonts w:ascii="Palatino" w:hAnsi="Palatino" w:cstheme="majorHAnsi"/>
          <w:sz w:val="20"/>
        </w:rPr>
        <w:t xml:space="preserve">Ronald </w:t>
      </w:r>
      <w:proofErr w:type="spellStart"/>
      <w:r w:rsidRPr="00101B2D">
        <w:rPr>
          <w:rFonts w:ascii="Palatino" w:hAnsi="Palatino" w:cstheme="majorHAnsi"/>
          <w:sz w:val="20"/>
        </w:rPr>
        <w:t>eds</w:t>
      </w:r>
      <w:proofErr w:type="spellEnd"/>
    </w:p>
    <w:p w14:paraId="58C9BD47" w14:textId="1D81C89C" w:rsidR="00101B2D" w:rsidRPr="00380CB7" w:rsidRDefault="00101B2D" w:rsidP="00380CB7">
      <w:pPr>
        <w:spacing w:line="240" w:lineRule="auto"/>
        <w:rPr>
          <w:rFonts w:ascii="Palatino" w:hAnsi="Palatino" w:cstheme="majorHAnsi"/>
          <w:sz w:val="20"/>
        </w:rPr>
      </w:pPr>
      <w:r>
        <w:rPr>
          <w:rFonts w:ascii="Palatino" w:hAnsi="Palatino" w:cstheme="majorHAnsi"/>
          <w:sz w:val="20"/>
        </w:rPr>
        <w:t xml:space="preserve">            </w:t>
      </w:r>
      <w:r w:rsidRPr="00101B2D">
        <w:rPr>
          <w:rFonts w:ascii="Palatino" w:hAnsi="Palatino" w:cstheme="majorHAnsi"/>
          <w:i/>
          <w:sz w:val="20"/>
        </w:rPr>
        <w:t xml:space="preserve">     Housing and Social Transition in Japan</w:t>
      </w:r>
      <w:r w:rsidRPr="00101B2D">
        <w:rPr>
          <w:rFonts w:ascii="Palatino" w:hAnsi="Palatino" w:cstheme="majorHAnsi"/>
          <w:sz w:val="20"/>
        </w:rPr>
        <w:t>.</w:t>
      </w:r>
      <w:r w:rsidRPr="00101B2D">
        <w:rPr>
          <w:rFonts w:ascii="Palatino" w:hAnsi="Palatino" w:cstheme="majorHAnsi"/>
          <w:sz w:val="20"/>
        </w:rPr>
        <w:tab/>
        <w:t xml:space="preserve"> </w:t>
      </w:r>
      <w:proofErr w:type="spellStart"/>
      <w:r w:rsidRPr="00101B2D">
        <w:rPr>
          <w:rFonts w:ascii="Palatino" w:hAnsi="Palatino" w:cstheme="majorHAnsi"/>
          <w:sz w:val="20"/>
        </w:rPr>
        <w:t>Routledge</w:t>
      </w:r>
      <w:proofErr w:type="spellEnd"/>
      <w:r w:rsidRPr="00101B2D">
        <w:rPr>
          <w:rFonts w:ascii="Palatino" w:hAnsi="Palatino" w:cstheme="majorHAnsi"/>
          <w:sz w:val="20"/>
        </w:rPr>
        <w:tab/>
      </w:r>
    </w:p>
    <w:p w14:paraId="28DDFD57" w14:textId="037F18CB" w:rsidR="00287E36" w:rsidRPr="00380CB7" w:rsidRDefault="00380CB7" w:rsidP="00380CB7">
      <w:pPr>
        <w:spacing w:line="240" w:lineRule="auto"/>
        <w:rPr>
          <w:rFonts w:ascii="Palatino" w:hAnsi="Palatino" w:cstheme="majorHAnsi"/>
          <w:sz w:val="20"/>
        </w:rPr>
      </w:pPr>
      <w:r w:rsidRPr="00380CB7">
        <w:rPr>
          <w:rFonts w:ascii="Palatino" w:hAnsi="Palatino" w:cstheme="majorHAnsi"/>
          <w:sz w:val="20"/>
        </w:rPr>
        <w:t>Iwata</w:t>
      </w:r>
      <w:r w:rsidRPr="00380CB7">
        <w:rPr>
          <w:rFonts w:ascii="Palatino" w:hAnsi="Palatino" w:cstheme="majorHAnsi" w:hint="eastAsia"/>
          <w:sz w:val="20"/>
        </w:rPr>
        <w:t>／</w:t>
      </w:r>
      <w:proofErr w:type="spellStart"/>
      <w:r w:rsidRPr="00380CB7">
        <w:rPr>
          <w:rFonts w:ascii="Palatino" w:hAnsi="Palatino" w:cstheme="majorHAnsi"/>
          <w:sz w:val="20"/>
        </w:rPr>
        <w:t>Nishizawa</w:t>
      </w:r>
      <w:proofErr w:type="spellEnd"/>
      <w:r w:rsidRPr="00380CB7">
        <w:rPr>
          <w:rFonts w:ascii="Palatino" w:hAnsi="Palatino" w:cstheme="majorHAnsi"/>
          <w:sz w:val="20"/>
        </w:rPr>
        <w:t>(2008)</w:t>
      </w:r>
      <w:r w:rsidRPr="00380CB7">
        <w:rPr>
          <w:rFonts w:ascii="Palatino" w:hAnsi="Palatino" w:cstheme="majorHAnsi"/>
          <w:i/>
          <w:sz w:val="20"/>
        </w:rPr>
        <w:t>Poverty and Social Welfare in Japan</w:t>
      </w:r>
      <w:r>
        <w:rPr>
          <w:rFonts w:ascii="Palatino" w:hAnsi="Palatino" w:cstheme="majorHAnsi"/>
          <w:sz w:val="20"/>
        </w:rPr>
        <w:t>, Pacific Press, Australia</w:t>
      </w:r>
    </w:p>
    <w:p w14:paraId="46E115C5" w14:textId="39CBFC0F" w:rsidR="00CA2B0C" w:rsidRPr="00380CB7" w:rsidRDefault="00CA2B0C" w:rsidP="00380CB7">
      <w:pPr>
        <w:spacing w:line="240" w:lineRule="auto"/>
        <w:rPr>
          <w:rFonts w:ascii="Palatino" w:hAnsi="Palatino" w:cstheme="majorHAnsi"/>
          <w:sz w:val="20"/>
        </w:rPr>
      </w:pPr>
      <w:r w:rsidRPr="00380CB7">
        <w:rPr>
          <w:rFonts w:ascii="Palatino" w:hAnsi="Palatino" w:cstheme="majorHAnsi"/>
          <w:sz w:val="20"/>
        </w:rPr>
        <w:t>Cabinet Office</w:t>
      </w:r>
      <w:r w:rsidR="00287E36" w:rsidRPr="00380CB7">
        <w:rPr>
          <w:rFonts w:ascii="Palatino" w:hAnsi="Palatino" w:cstheme="majorHAnsi"/>
          <w:sz w:val="20"/>
        </w:rPr>
        <w:t>=Abe</w:t>
      </w:r>
      <w:r w:rsidRPr="00380CB7">
        <w:rPr>
          <w:rFonts w:ascii="Palatino" w:hAnsi="Palatino" w:cstheme="majorHAnsi"/>
          <w:sz w:val="20"/>
        </w:rPr>
        <w:t>(2010)</w:t>
      </w:r>
      <w:r w:rsidRPr="00380CB7">
        <w:rPr>
          <w:rFonts w:ascii="Palatino" w:hAnsi="Palatino" w:cstheme="majorHAnsi" w:hint="eastAsia"/>
          <w:sz w:val="20"/>
        </w:rPr>
        <w:t>「生活困難を抱える男女に関する検討会報告書」</w:t>
      </w:r>
    </w:p>
    <w:p w14:paraId="61919387" w14:textId="6845B021" w:rsidR="00287E36" w:rsidRPr="00380CB7" w:rsidRDefault="00287E36" w:rsidP="00380CB7">
      <w:pPr>
        <w:spacing w:line="240" w:lineRule="auto"/>
        <w:rPr>
          <w:rFonts w:ascii="Palatino" w:hAnsi="Palatino" w:cstheme="majorHAnsi"/>
          <w:sz w:val="20"/>
        </w:rPr>
      </w:pPr>
      <w:r w:rsidRPr="00380CB7">
        <w:rPr>
          <w:rFonts w:ascii="Palatino" w:hAnsi="Palatino" w:cstheme="majorHAnsi"/>
          <w:sz w:val="20"/>
        </w:rPr>
        <w:t>Cabinet Office=Abe(2011)</w:t>
      </w:r>
      <w:r w:rsidR="00101B2D" w:rsidRPr="00101B2D">
        <w:rPr>
          <w:rFonts w:hint="eastAsia"/>
        </w:rPr>
        <w:t xml:space="preserve"> </w:t>
      </w:r>
      <w:r w:rsidR="00101B2D" w:rsidRPr="00101B2D">
        <w:rPr>
          <w:rFonts w:ascii="Palatino" w:hAnsi="Palatino" w:cstheme="majorHAnsi" w:hint="eastAsia"/>
          <w:sz w:val="20"/>
        </w:rPr>
        <w:t>内閣府男女共同参画会議（</w:t>
      </w:r>
      <w:r w:rsidR="00101B2D" w:rsidRPr="00101B2D">
        <w:rPr>
          <w:rFonts w:ascii="Palatino" w:hAnsi="Palatino" w:cstheme="majorHAnsi"/>
          <w:sz w:val="20"/>
        </w:rPr>
        <w:t>2011</w:t>
      </w:r>
      <w:r w:rsidR="00101B2D" w:rsidRPr="00101B2D">
        <w:rPr>
          <w:rFonts w:ascii="Palatino" w:hAnsi="Palatino" w:cstheme="majorHAnsi"/>
          <w:sz w:val="20"/>
        </w:rPr>
        <w:t xml:space="preserve">）第８回基本問題・影響評価委員会女性と経済ワーキング・グループ　資料３　</w:t>
      </w:r>
      <w:r w:rsidR="00101B2D" w:rsidRPr="00101B2D">
        <w:rPr>
          <w:rFonts w:ascii="Palatino" w:hAnsi="Palatino" w:cstheme="majorHAnsi"/>
          <w:sz w:val="20"/>
        </w:rPr>
        <w:t>(2011</w:t>
      </w:r>
      <w:r w:rsidR="00101B2D" w:rsidRPr="00101B2D">
        <w:rPr>
          <w:rFonts w:ascii="Palatino" w:hAnsi="Palatino" w:cstheme="majorHAnsi"/>
          <w:sz w:val="20"/>
        </w:rPr>
        <w:t>年</w:t>
      </w:r>
      <w:r w:rsidR="00101B2D" w:rsidRPr="00101B2D">
        <w:rPr>
          <w:rFonts w:ascii="Palatino" w:hAnsi="Palatino" w:cstheme="majorHAnsi"/>
          <w:sz w:val="20"/>
        </w:rPr>
        <w:t>12</w:t>
      </w:r>
      <w:r w:rsidR="00101B2D" w:rsidRPr="00101B2D">
        <w:rPr>
          <w:rFonts w:ascii="Palatino" w:hAnsi="Palatino" w:cstheme="majorHAnsi"/>
          <w:sz w:val="20"/>
        </w:rPr>
        <w:t>月</w:t>
      </w:r>
      <w:r w:rsidR="00101B2D" w:rsidRPr="00101B2D">
        <w:rPr>
          <w:rFonts w:ascii="Palatino" w:hAnsi="Palatino" w:cstheme="majorHAnsi"/>
          <w:sz w:val="20"/>
        </w:rPr>
        <w:t>20</w:t>
      </w:r>
      <w:r w:rsidR="00101B2D" w:rsidRPr="00101B2D">
        <w:rPr>
          <w:rFonts w:ascii="Palatino" w:hAnsi="Palatino" w:cstheme="majorHAnsi"/>
          <w:sz w:val="20"/>
        </w:rPr>
        <w:t>日</w:t>
      </w:r>
      <w:r w:rsidR="00101B2D" w:rsidRPr="00101B2D">
        <w:rPr>
          <w:rFonts w:ascii="Palatino" w:hAnsi="Palatino" w:cstheme="majorHAnsi"/>
          <w:sz w:val="20"/>
        </w:rPr>
        <w:t>)</w:t>
      </w:r>
    </w:p>
    <w:p w14:paraId="6E7A3BD1" w14:textId="77777777" w:rsidR="00287E36" w:rsidRPr="00380CB7" w:rsidRDefault="00287E36" w:rsidP="00380CB7">
      <w:pPr>
        <w:spacing w:line="240" w:lineRule="auto"/>
        <w:rPr>
          <w:rFonts w:ascii="Palatino" w:hAnsi="Palatino" w:cstheme="majorHAnsi"/>
          <w:sz w:val="20"/>
        </w:rPr>
      </w:pPr>
      <w:proofErr w:type="spellStart"/>
      <w:r w:rsidRPr="00380CB7">
        <w:rPr>
          <w:rFonts w:ascii="Palatino" w:hAnsi="Palatino" w:cstheme="majorHAnsi"/>
          <w:sz w:val="20"/>
        </w:rPr>
        <w:t>Komamura</w:t>
      </w:r>
      <w:proofErr w:type="spellEnd"/>
      <w:r w:rsidRPr="00380CB7">
        <w:rPr>
          <w:rFonts w:ascii="Palatino" w:hAnsi="Palatino" w:cstheme="majorHAnsi"/>
          <w:sz w:val="20"/>
        </w:rPr>
        <w:t xml:space="preserve">(2003) An Analysis of Low Income Households and the Role of Public </w:t>
      </w:r>
    </w:p>
    <w:p w14:paraId="78A8359F" w14:textId="0D6C117F" w:rsidR="00287E36" w:rsidRPr="00380CB7" w:rsidRDefault="00287E36" w:rsidP="00380CB7">
      <w:pPr>
        <w:spacing w:line="240" w:lineRule="auto"/>
        <w:rPr>
          <w:rFonts w:ascii="Palatino" w:hAnsi="Palatino" w:cstheme="majorHAnsi"/>
          <w:sz w:val="20"/>
        </w:rPr>
      </w:pPr>
      <w:r w:rsidRPr="00380CB7">
        <w:rPr>
          <w:rFonts w:ascii="Palatino" w:hAnsi="Palatino" w:cstheme="majorHAnsi"/>
          <w:sz w:val="20"/>
        </w:rPr>
        <w:t xml:space="preserve">                         Assistance</w:t>
      </w:r>
      <w:r w:rsidRPr="00380CB7">
        <w:rPr>
          <w:rFonts w:ascii="Palatino" w:hAnsi="Palatino" w:cstheme="majorHAnsi"/>
          <w:sz w:val="20"/>
        </w:rPr>
        <w:t>、</w:t>
      </w:r>
      <w:r w:rsidRPr="00380CB7">
        <w:rPr>
          <w:rFonts w:ascii="Palatino" w:hAnsi="Palatino" w:cstheme="majorHAnsi"/>
          <w:sz w:val="20"/>
        </w:rPr>
        <w:t>(</w:t>
      </w:r>
      <w:proofErr w:type="spellStart"/>
      <w:r w:rsidRPr="00380CB7">
        <w:rPr>
          <w:rFonts w:ascii="Palatino" w:hAnsi="Palatino" w:cstheme="majorHAnsi"/>
          <w:sz w:val="20"/>
        </w:rPr>
        <w:t>Mita</w:t>
      </w:r>
      <w:proofErr w:type="spellEnd"/>
      <w:r w:rsidRPr="00380CB7">
        <w:rPr>
          <w:rFonts w:ascii="Palatino" w:hAnsi="Palatino" w:cstheme="majorHAnsi"/>
          <w:sz w:val="20"/>
        </w:rPr>
        <w:t xml:space="preserve"> business review). Vol.46, No.3 </w:t>
      </w:r>
      <w:r w:rsidRPr="00380CB7">
        <w:rPr>
          <w:rFonts w:ascii="Palatino" w:hAnsi="Palatino" w:cstheme="majorHAnsi"/>
          <w:sz w:val="20"/>
        </w:rPr>
        <w:tab/>
      </w:r>
    </w:p>
    <w:p w14:paraId="7F6FB8AA" w14:textId="5D5F2969" w:rsidR="00380CB7" w:rsidRDefault="00101B2D" w:rsidP="00270C80">
      <w:pPr>
        <w:spacing w:line="240" w:lineRule="auto"/>
        <w:outlineLvl w:val="0"/>
        <w:rPr>
          <w:rFonts w:ascii="Palatino" w:hAnsi="Palatino" w:cstheme="majorHAnsi"/>
          <w:i/>
          <w:sz w:val="20"/>
        </w:rPr>
      </w:pPr>
      <w:proofErr w:type="spellStart"/>
      <w:r>
        <w:rPr>
          <w:rFonts w:ascii="Palatino" w:hAnsi="Palatino" w:cstheme="majorHAnsi"/>
          <w:sz w:val="20"/>
        </w:rPr>
        <w:t>Nishizaki</w:t>
      </w:r>
      <w:proofErr w:type="spellEnd"/>
      <w:r>
        <w:rPr>
          <w:rFonts w:ascii="Palatino" w:hAnsi="Palatino" w:cstheme="majorHAnsi"/>
          <w:sz w:val="20"/>
        </w:rPr>
        <w:t xml:space="preserve"> et al (1998)</w:t>
      </w:r>
      <w:r>
        <w:rPr>
          <w:rFonts w:ascii="Palatino" w:hAnsi="Palatino" w:cstheme="majorHAnsi" w:hint="eastAsia"/>
          <w:sz w:val="20"/>
        </w:rPr>
        <w:t>『日本の所得格差』</w:t>
      </w:r>
      <w:r w:rsidR="00380CB7">
        <w:rPr>
          <w:rFonts w:ascii="Palatino" w:hAnsi="Palatino" w:cstheme="majorHAnsi"/>
          <w:i/>
          <w:sz w:val="20"/>
        </w:rPr>
        <w:t xml:space="preserve">Nihon no </w:t>
      </w:r>
      <w:proofErr w:type="spellStart"/>
      <w:r w:rsidR="00287E36" w:rsidRPr="00380CB7">
        <w:rPr>
          <w:rFonts w:ascii="Palatino" w:hAnsi="Palatino" w:cstheme="majorHAnsi"/>
          <w:i/>
          <w:sz w:val="20"/>
        </w:rPr>
        <w:t>shotoku</w:t>
      </w:r>
      <w:proofErr w:type="spellEnd"/>
      <w:r w:rsidR="00287E36" w:rsidRPr="00380CB7">
        <w:rPr>
          <w:rFonts w:ascii="Palatino" w:hAnsi="Palatino" w:cstheme="majorHAnsi"/>
          <w:i/>
          <w:sz w:val="20"/>
        </w:rPr>
        <w:t xml:space="preserve"> </w:t>
      </w:r>
      <w:proofErr w:type="spellStart"/>
      <w:r w:rsidR="00287E36" w:rsidRPr="00380CB7">
        <w:rPr>
          <w:rFonts w:ascii="Palatino" w:hAnsi="Palatino" w:cstheme="majorHAnsi"/>
          <w:i/>
          <w:sz w:val="20"/>
        </w:rPr>
        <w:t>kakusa</w:t>
      </w:r>
      <w:proofErr w:type="spellEnd"/>
      <w:r w:rsidR="00380CB7">
        <w:rPr>
          <w:rFonts w:ascii="Palatino" w:hAnsi="Palatino" w:cstheme="majorHAnsi"/>
          <w:i/>
          <w:sz w:val="20"/>
        </w:rPr>
        <w:t xml:space="preserve">   </w:t>
      </w:r>
    </w:p>
    <w:p w14:paraId="4E645B92" w14:textId="65D27091" w:rsidR="00287E36" w:rsidRPr="00380CB7" w:rsidRDefault="00380CB7" w:rsidP="00380CB7">
      <w:pPr>
        <w:spacing w:line="240" w:lineRule="auto"/>
        <w:rPr>
          <w:rFonts w:ascii="Palatino" w:hAnsi="Palatino" w:cstheme="majorHAnsi"/>
          <w:sz w:val="20"/>
        </w:rPr>
      </w:pPr>
      <w:r>
        <w:rPr>
          <w:rFonts w:ascii="Palatino" w:hAnsi="Palatino" w:cstheme="majorHAnsi"/>
          <w:i/>
          <w:sz w:val="20"/>
        </w:rPr>
        <w:t xml:space="preserve">                                                    </w:t>
      </w:r>
      <w:proofErr w:type="spellStart"/>
      <w:r w:rsidR="00287E36" w:rsidRPr="00380CB7">
        <w:rPr>
          <w:rFonts w:ascii="Palatino" w:hAnsi="Palatino" w:cstheme="majorHAnsi"/>
          <w:sz w:val="20"/>
        </w:rPr>
        <w:t>Econimics</w:t>
      </w:r>
      <w:proofErr w:type="spellEnd"/>
      <w:r w:rsidR="00287E36" w:rsidRPr="00380CB7">
        <w:rPr>
          <w:rFonts w:ascii="Palatino" w:hAnsi="Palatino" w:cstheme="majorHAnsi"/>
          <w:sz w:val="20"/>
        </w:rPr>
        <w:t xml:space="preserve"> Research </w:t>
      </w:r>
      <w:proofErr w:type="spellStart"/>
      <w:r w:rsidR="00287E36" w:rsidRPr="00380CB7">
        <w:rPr>
          <w:rFonts w:ascii="Palatino" w:hAnsi="Palatino" w:cstheme="majorHAnsi"/>
          <w:sz w:val="20"/>
        </w:rPr>
        <w:t>Institute</w:t>
      </w:r>
      <w:r w:rsidRPr="00380CB7">
        <w:rPr>
          <w:rFonts w:ascii="Palatino" w:hAnsi="Palatino" w:cstheme="majorHAnsi"/>
          <w:sz w:val="20"/>
        </w:rPr>
        <w:t>,Tokyo</w:t>
      </w:r>
      <w:proofErr w:type="spellEnd"/>
    </w:p>
    <w:p w14:paraId="7880AB34" w14:textId="0862FE7D" w:rsidR="00101B2D" w:rsidRDefault="00287E36" w:rsidP="00380CB7">
      <w:pPr>
        <w:spacing w:line="240" w:lineRule="auto"/>
        <w:rPr>
          <w:rFonts w:ascii="Palatino" w:hAnsi="Palatino" w:cstheme="majorHAnsi"/>
          <w:sz w:val="20"/>
        </w:rPr>
      </w:pPr>
      <w:proofErr w:type="spellStart"/>
      <w:r w:rsidRPr="00380CB7">
        <w:rPr>
          <w:rFonts w:ascii="Palatino" w:hAnsi="Palatino" w:cstheme="majorHAnsi"/>
          <w:sz w:val="20"/>
        </w:rPr>
        <w:t>Tachibanaki</w:t>
      </w:r>
      <w:proofErr w:type="spellEnd"/>
      <w:r w:rsidRPr="00380CB7">
        <w:rPr>
          <w:rFonts w:ascii="Palatino" w:hAnsi="Palatino" w:cstheme="majorHAnsi"/>
          <w:sz w:val="20"/>
        </w:rPr>
        <w:t xml:space="preserve">/Urakawa(2006) </w:t>
      </w:r>
      <w:r w:rsidRPr="00380CB7">
        <w:rPr>
          <w:rFonts w:ascii="Palatino" w:hAnsi="Palatino" w:cstheme="majorHAnsi"/>
          <w:i/>
          <w:sz w:val="20"/>
        </w:rPr>
        <w:t xml:space="preserve">Nihon no </w:t>
      </w:r>
      <w:proofErr w:type="spellStart"/>
      <w:r w:rsidRPr="00380CB7">
        <w:rPr>
          <w:rFonts w:ascii="Palatino" w:hAnsi="Palatino" w:cstheme="majorHAnsi"/>
          <w:i/>
          <w:sz w:val="20"/>
        </w:rPr>
        <w:t>Hinkonkenkyu</w:t>
      </w:r>
      <w:proofErr w:type="spellEnd"/>
      <w:r w:rsidRPr="00380CB7">
        <w:rPr>
          <w:rFonts w:ascii="Palatino" w:hAnsi="Palatino" w:cstheme="majorHAnsi"/>
          <w:sz w:val="20"/>
        </w:rPr>
        <w:t>,</w:t>
      </w:r>
      <w:r w:rsidR="00101B2D">
        <w:rPr>
          <w:rFonts w:ascii="Palatino" w:hAnsi="Palatino" w:cstheme="majorHAnsi" w:hint="eastAsia"/>
          <w:sz w:val="20"/>
        </w:rPr>
        <w:t>『日本の貧困研究』</w:t>
      </w:r>
    </w:p>
    <w:p w14:paraId="681DFBA3" w14:textId="50F6E6A5" w:rsidR="00287E36" w:rsidRPr="00380CB7" w:rsidRDefault="00101B2D" w:rsidP="00380CB7">
      <w:pPr>
        <w:spacing w:line="240" w:lineRule="auto"/>
        <w:rPr>
          <w:rFonts w:ascii="Palatino" w:hAnsi="Palatino" w:cstheme="majorHAnsi"/>
          <w:sz w:val="20"/>
        </w:rPr>
      </w:pPr>
      <w:r>
        <w:rPr>
          <w:rFonts w:ascii="Palatino" w:hAnsi="Palatino" w:cstheme="majorHAnsi" w:hint="eastAsia"/>
          <w:sz w:val="20"/>
        </w:rPr>
        <w:t xml:space="preserve">　　　　　　　　　　　　　　</w:t>
      </w:r>
      <w:r w:rsidR="00287E36" w:rsidRPr="00380CB7">
        <w:rPr>
          <w:rFonts w:ascii="Palatino" w:hAnsi="Palatino" w:cstheme="majorHAnsi"/>
          <w:sz w:val="20"/>
        </w:rPr>
        <w:t xml:space="preserve">Tokyo University </w:t>
      </w:r>
      <w:proofErr w:type="spellStart"/>
      <w:r w:rsidR="00287E36" w:rsidRPr="00380CB7">
        <w:rPr>
          <w:rFonts w:ascii="Palatino" w:hAnsi="Palatino" w:cstheme="majorHAnsi"/>
          <w:sz w:val="20"/>
        </w:rPr>
        <w:t>Press</w:t>
      </w:r>
      <w:r w:rsidR="00380CB7" w:rsidRPr="00380CB7">
        <w:rPr>
          <w:rFonts w:ascii="Palatino" w:hAnsi="Palatino" w:cstheme="majorHAnsi"/>
          <w:sz w:val="20"/>
        </w:rPr>
        <w:t>,Tokyo</w:t>
      </w:r>
      <w:proofErr w:type="spellEnd"/>
    </w:p>
    <w:p w14:paraId="440D0B58" w14:textId="2D7F05FE" w:rsidR="00CA2B0C" w:rsidRPr="00CA2B0C" w:rsidRDefault="00287E36" w:rsidP="00380CB7">
      <w:pPr>
        <w:spacing w:line="240" w:lineRule="auto"/>
        <w:rPr>
          <w:rFonts w:ascii="Palatino" w:hAnsi="Palatino" w:cstheme="majorHAnsi"/>
          <w:sz w:val="21"/>
          <w:szCs w:val="21"/>
        </w:rPr>
      </w:pPr>
      <w:r w:rsidRPr="00287E36">
        <w:rPr>
          <w:rFonts w:ascii="Palatino" w:hAnsi="Palatino" w:cstheme="majorHAnsi"/>
          <w:sz w:val="21"/>
          <w:szCs w:val="21"/>
        </w:rPr>
        <w:tab/>
      </w:r>
    </w:p>
    <w:p w14:paraId="17170A92" w14:textId="77777777" w:rsidR="00CA2B0C" w:rsidRPr="00CA2B0C" w:rsidRDefault="00CA2B0C" w:rsidP="00CA2B0C">
      <w:pPr>
        <w:rPr>
          <w:rFonts w:ascii="Palatino" w:hAnsi="Palatino" w:cstheme="majorHAnsi"/>
          <w:sz w:val="21"/>
          <w:szCs w:val="21"/>
        </w:rPr>
      </w:pPr>
    </w:p>
    <w:p w14:paraId="7B4F3BD1" w14:textId="77777777" w:rsidR="00647633" w:rsidRDefault="00647633" w:rsidP="00383A7F">
      <w:pPr>
        <w:rPr>
          <w:rFonts w:ascii="Palatino" w:hAnsi="Palatino" w:cstheme="majorHAnsi"/>
          <w:sz w:val="21"/>
          <w:szCs w:val="21"/>
        </w:rPr>
      </w:pPr>
    </w:p>
    <w:p w14:paraId="7C3182A7" w14:textId="77777777" w:rsidR="00A72596" w:rsidRDefault="00A72596" w:rsidP="00CC0E09">
      <w:pPr>
        <w:spacing w:line="276" w:lineRule="auto"/>
        <w:rPr>
          <w:rFonts w:ascii="Palatino" w:hAnsi="Palatino"/>
          <w:b/>
          <w:szCs w:val="24"/>
        </w:rPr>
      </w:pPr>
    </w:p>
    <w:p w14:paraId="7E68EA9E" w14:textId="19FDBBD1" w:rsidR="007A194A" w:rsidRPr="00CC0E09" w:rsidRDefault="007A194A" w:rsidP="00CC0E09">
      <w:pPr>
        <w:spacing w:line="276" w:lineRule="auto"/>
        <w:rPr>
          <w:rFonts w:ascii="Palatino" w:hAnsi="Palatino"/>
          <w:b/>
          <w:szCs w:val="24"/>
        </w:rPr>
      </w:pPr>
      <w:r w:rsidRPr="00CC0E09">
        <w:rPr>
          <w:rFonts w:ascii="Palatino" w:hAnsi="Palatino"/>
          <w:b/>
          <w:szCs w:val="24"/>
        </w:rPr>
        <w:t>Appendix</w:t>
      </w:r>
    </w:p>
    <w:p w14:paraId="1E40D098" w14:textId="1FE7F6B8" w:rsidR="007A194A" w:rsidRPr="00CC0E09" w:rsidRDefault="00CC0E09" w:rsidP="00CC0E09">
      <w:pPr>
        <w:spacing w:line="276" w:lineRule="auto"/>
        <w:rPr>
          <w:rFonts w:ascii="Palatino" w:hAnsi="Palatino"/>
          <w:b/>
          <w:sz w:val="22"/>
          <w:szCs w:val="22"/>
        </w:rPr>
      </w:pPr>
      <w:r w:rsidRPr="00CC0E09">
        <w:rPr>
          <w:rFonts w:ascii="Palatino" w:hAnsi="Palatino"/>
          <w:b/>
          <w:sz w:val="22"/>
          <w:szCs w:val="22"/>
        </w:rPr>
        <w:t xml:space="preserve">1 </w:t>
      </w:r>
      <w:proofErr w:type="spellStart"/>
      <w:r w:rsidR="007A194A" w:rsidRPr="00CC0E09">
        <w:rPr>
          <w:rFonts w:ascii="Palatino" w:hAnsi="Palatino"/>
          <w:b/>
          <w:i/>
          <w:sz w:val="22"/>
          <w:szCs w:val="22"/>
        </w:rPr>
        <w:t>Seikatu-hogo</w:t>
      </w:r>
      <w:proofErr w:type="spellEnd"/>
      <w:r w:rsidR="007A194A" w:rsidRPr="00CC0E09">
        <w:rPr>
          <w:rFonts w:ascii="Palatino" w:hAnsi="Palatino"/>
          <w:b/>
          <w:sz w:val="22"/>
          <w:szCs w:val="22"/>
        </w:rPr>
        <w:t xml:space="preserve">(Social assistance) </w:t>
      </w:r>
    </w:p>
    <w:p w14:paraId="0E0B7FF6" w14:textId="20F0B302" w:rsidR="007A194A" w:rsidRPr="00CC0E09" w:rsidRDefault="00CC0E09" w:rsidP="00CC0E09">
      <w:pPr>
        <w:spacing w:line="276" w:lineRule="auto"/>
        <w:rPr>
          <w:rFonts w:ascii="Palatino" w:hAnsi="Palatino"/>
          <w:sz w:val="20"/>
        </w:rPr>
      </w:pPr>
      <w:r>
        <w:rPr>
          <w:rFonts w:ascii="Palatino" w:hAnsi="Palatino"/>
          <w:sz w:val="20"/>
        </w:rPr>
        <w:t xml:space="preserve"> The</w:t>
      </w:r>
      <w:r w:rsidRPr="00CC0E09">
        <w:rPr>
          <w:rFonts w:ascii="Palatino" w:hAnsi="Palatino"/>
          <w:i/>
          <w:sz w:val="20"/>
        </w:rPr>
        <w:t xml:space="preserve"> </w:t>
      </w:r>
      <w:proofErr w:type="spellStart"/>
      <w:r w:rsidRPr="00CC0E09">
        <w:rPr>
          <w:rFonts w:ascii="Palatino" w:hAnsi="Palatino"/>
          <w:i/>
          <w:sz w:val="20"/>
        </w:rPr>
        <w:t>Seikatu-hogo</w:t>
      </w:r>
      <w:proofErr w:type="spellEnd"/>
      <w:r>
        <w:rPr>
          <w:rFonts w:ascii="Palatino" w:hAnsi="Palatino"/>
          <w:sz w:val="20"/>
        </w:rPr>
        <w:t xml:space="preserve"> </w:t>
      </w:r>
      <w:r w:rsidR="007A194A" w:rsidRPr="00CC0E09">
        <w:rPr>
          <w:rFonts w:ascii="Palatino" w:hAnsi="Palatino"/>
          <w:sz w:val="20"/>
        </w:rPr>
        <w:t xml:space="preserve">is premised on utilization of all the assets and ability that each household has.  Support from those responsible. The standard amount for assistance, based on which the minimum living expense is calculated, is prescribed by the Minister of Health, </w:t>
      </w:r>
      <w:proofErr w:type="spellStart"/>
      <w:r w:rsidR="007A194A" w:rsidRPr="00CC0E09">
        <w:rPr>
          <w:rFonts w:ascii="Palatino" w:hAnsi="Palatino"/>
          <w:sz w:val="20"/>
        </w:rPr>
        <w:t>Labour</w:t>
      </w:r>
      <w:proofErr w:type="spellEnd"/>
      <w:r w:rsidR="007A194A" w:rsidRPr="00CC0E09">
        <w:rPr>
          <w:rFonts w:ascii="Palatino" w:hAnsi="Palatino"/>
          <w:sz w:val="20"/>
        </w:rPr>
        <w:t xml:space="preserve"> and Welfare, according to eight types of assistance, in light of the recipients’ circumstances, such as age, household composition, and inhabited area. The type of public assistance as follows:</w:t>
      </w:r>
    </w:p>
    <w:p w14:paraId="30C6C1FD" w14:textId="77777777"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1</w:t>
      </w:r>
      <w:r w:rsidRPr="00CC0E09">
        <w:rPr>
          <w:rFonts w:ascii="Palatino" w:hAnsi="Palatino"/>
          <w:sz w:val="20"/>
        </w:rPr>
        <w:t>)Livelihood assistance</w:t>
      </w:r>
    </w:p>
    <w:p w14:paraId="6A38C3F3" w14:textId="540CC613" w:rsidR="007A194A"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2</w:t>
      </w:r>
      <w:r w:rsidRPr="00CC0E09">
        <w:rPr>
          <w:rFonts w:ascii="Palatino" w:hAnsi="Palatino"/>
          <w:sz w:val="20"/>
        </w:rPr>
        <w:t>) Education assistance</w:t>
      </w:r>
    </w:p>
    <w:p w14:paraId="3224172B" w14:textId="7C819A2A"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3</w:t>
      </w:r>
      <w:r w:rsidRPr="00CC0E09">
        <w:rPr>
          <w:rFonts w:ascii="Palatino" w:hAnsi="Palatino"/>
          <w:sz w:val="20"/>
        </w:rPr>
        <w:t>)</w:t>
      </w:r>
      <w:r w:rsidR="001B0A42" w:rsidRPr="00CC0E09">
        <w:rPr>
          <w:rFonts w:ascii="Palatino" w:hAnsi="Palatino"/>
          <w:sz w:val="20"/>
        </w:rPr>
        <w:t xml:space="preserve"> </w:t>
      </w:r>
      <w:r w:rsidRPr="00CC0E09">
        <w:rPr>
          <w:rFonts w:ascii="Palatino" w:hAnsi="Palatino"/>
          <w:sz w:val="20"/>
        </w:rPr>
        <w:t>Housing assistance</w:t>
      </w:r>
    </w:p>
    <w:p w14:paraId="3BBD7647" w14:textId="77777777"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4</w:t>
      </w:r>
      <w:r w:rsidRPr="00CC0E09">
        <w:rPr>
          <w:rFonts w:ascii="Palatino" w:hAnsi="Palatino"/>
          <w:sz w:val="20"/>
        </w:rPr>
        <w:t>) Medical assistance</w:t>
      </w:r>
    </w:p>
    <w:p w14:paraId="41AAE10F" w14:textId="13043898"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 xml:space="preserve">5) </w:t>
      </w:r>
      <w:r w:rsidRPr="00CC0E09">
        <w:rPr>
          <w:rFonts w:ascii="Palatino" w:hAnsi="Palatino"/>
          <w:sz w:val="20"/>
        </w:rPr>
        <w:t>Long-term care assistance</w:t>
      </w:r>
    </w:p>
    <w:p w14:paraId="6FD3D34D" w14:textId="77777777"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6</w:t>
      </w:r>
      <w:r w:rsidRPr="00CC0E09">
        <w:rPr>
          <w:rFonts w:ascii="Palatino" w:hAnsi="Palatino"/>
          <w:sz w:val="20"/>
        </w:rPr>
        <w:t>) Maternity assistance</w:t>
      </w:r>
    </w:p>
    <w:p w14:paraId="63909C70" w14:textId="23FBD219" w:rsidR="001B0A42"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7</w:t>
      </w:r>
      <w:r w:rsidRPr="00CC0E09">
        <w:rPr>
          <w:rFonts w:ascii="Palatino" w:hAnsi="Palatino"/>
          <w:sz w:val="20"/>
        </w:rPr>
        <w:t xml:space="preserve">) Occupational assistance </w:t>
      </w:r>
    </w:p>
    <w:p w14:paraId="1EC23B56" w14:textId="6A318AE3" w:rsidR="007A194A" w:rsidRPr="00CC0E09" w:rsidRDefault="007A194A" w:rsidP="00CC0E09">
      <w:pPr>
        <w:spacing w:line="276" w:lineRule="auto"/>
        <w:rPr>
          <w:rFonts w:ascii="Palatino" w:hAnsi="Palatino"/>
          <w:sz w:val="20"/>
        </w:rPr>
      </w:pPr>
      <w:r w:rsidRPr="00CC0E09">
        <w:rPr>
          <w:rFonts w:ascii="Palatino" w:hAnsi="Palatino"/>
          <w:sz w:val="20"/>
        </w:rPr>
        <w:t>(</w:t>
      </w:r>
      <w:r w:rsidR="001B0A42" w:rsidRPr="00CC0E09">
        <w:rPr>
          <w:rFonts w:ascii="Palatino" w:hAnsi="Palatino"/>
          <w:sz w:val="20"/>
        </w:rPr>
        <w:t>8</w:t>
      </w:r>
      <w:r w:rsidRPr="00CC0E09">
        <w:rPr>
          <w:rFonts w:ascii="Palatino" w:hAnsi="Palatino"/>
          <w:sz w:val="20"/>
        </w:rPr>
        <w:t xml:space="preserve">)Funeral assistance </w:t>
      </w:r>
    </w:p>
    <w:p w14:paraId="1C6B27F6" w14:textId="77777777" w:rsidR="007A194A" w:rsidRPr="00CC0E09" w:rsidRDefault="007A194A" w:rsidP="00CC0E09">
      <w:pPr>
        <w:spacing w:line="276" w:lineRule="auto"/>
        <w:rPr>
          <w:rFonts w:ascii="Palatino" w:hAnsi="Palatino"/>
          <w:sz w:val="20"/>
        </w:rPr>
      </w:pPr>
      <w:r w:rsidRPr="00CC0E09">
        <w:rPr>
          <w:rFonts w:ascii="Palatino" w:hAnsi="Palatino"/>
          <w:sz w:val="20"/>
        </w:rPr>
        <w:t>according to the needs of the person requiring public assistance.</w:t>
      </w:r>
    </w:p>
    <w:p w14:paraId="55E8DA6A" w14:textId="0EB7C960" w:rsidR="007A194A" w:rsidRPr="00CC0E09" w:rsidRDefault="007A194A" w:rsidP="00CC0E09">
      <w:pPr>
        <w:spacing w:line="276" w:lineRule="auto"/>
        <w:rPr>
          <w:rFonts w:ascii="Palatino" w:hAnsi="Palatino"/>
          <w:sz w:val="20"/>
        </w:rPr>
      </w:pPr>
      <w:r w:rsidRPr="00CC0E09">
        <w:rPr>
          <w:rFonts w:ascii="Palatino" w:hAnsi="Palatino"/>
          <w:sz w:val="20"/>
        </w:rPr>
        <w:t xml:space="preserve">　</w:t>
      </w:r>
      <w:r w:rsidRPr="00CC0E09">
        <w:rPr>
          <w:rFonts w:ascii="Palatino" w:hAnsi="Palatino"/>
          <w:sz w:val="20"/>
        </w:rPr>
        <w:t>The assistance set forth in the items of the preceding paragraph shall be provided singly or in combination</w:t>
      </w:r>
      <w:r w:rsidR="001B0A42" w:rsidRPr="00CC0E09">
        <w:rPr>
          <w:rFonts w:ascii="Palatino" w:hAnsi="Palatino"/>
          <w:sz w:val="20"/>
        </w:rPr>
        <w:t>.</w:t>
      </w:r>
    </w:p>
    <w:p w14:paraId="361B03B0" w14:textId="7363DE70" w:rsidR="007A194A" w:rsidRPr="00CC0E09" w:rsidRDefault="007A194A" w:rsidP="00CC0E09">
      <w:pPr>
        <w:spacing w:line="276" w:lineRule="auto"/>
        <w:rPr>
          <w:rFonts w:ascii="Palatino" w:hAnsi="Palatino"/>
          <w:sz w:val="20"/>
        </w:rPr>
      </w:pPr>
    </w:p>
    <w:p w14:paraId="0625BC5E" w14:textId="77777777" w:rsidR="001B0A42" w:rsidRPr="00CC0E09" w:rsidRDefault="001B0A42" w:rsidP="00CC0E09">
      <w:pPr>
        <w:spacing w:line="276" w:lineRule="auto"/>
        <w:rPr>
          <w:rFonts w:ascii="Palatino" w:hAnsi="Palatino"/>
          <w:b/>
          <w:sz w:val="22"/>
          <w:szCs w:val="22"/>
        </w:rPr>
      </w:pPr>
      <w:r w:rsidRPr="00CC0E09">
        <w:rPr>
          <w:rFonts w:ascii="Palatino" w:hAnsi="Palatino"/>
          <w:b/>
          <w:sz w:val="22"/>
          <w:szCs w:val="22"/>
        </w:rPr>
        <w:t>2 The minimum wage system</w:t>
      </w:r>
    </w:p>
    <w:p w14:paraId="7CEA3510" w14:textId="76216470" w:rsidR="001B0A42" w:rsidRPr="00CC0E09" w:rsidRDefault="001B0A42" w:rsidP="00CC0E09">
      <w:pPr>
        <w:spacing w:line="276" w:lineRule="auto"/>
        <w:rPr>
          <w:rFonts w:ascii="Palatino" w:hAnsi="Palatino"/>
          <w:sz w:val="20"/>
        </w:rPr>
      </w:pPr>
      <w:r w:rsidRPr="00CC0E09">
        <w:rPr>
          <w:rFonts w:ascii="Palatino" w:hAnsi="Palatino"/>
          <w:sz w:val="20"/>
        </w:rPr>
        <w:t xml:space="preserve"> </w:t>
      </w:r>
      <w:r w:rsidR="00A95704" w:rsidRPr="00CC0E09">
        <w:rPr>
          <w:rFonts w:ascii="Palatino" w:hAnsi="Palatino"/>
          <w:sz w:val="20"/>
        </w:rPr>
        <w:t xml:space="preserve">The minimum wage system </w:t>
      </w:r>
      <w:r w:rsidRPr="00CC0E09">
        <w:rPr>
          <w:rFonts w:ascii="Palatino" w:hAnsi="Palatino"/>
          <w:sz w:val="20"/>
        </w:rPr>
        <w:t xml:space="preserve">is a system that employers must pay more than the minimum wages formulated by the government on the basis of the Minimum Wages Act to employees. In case the minimum wages are not paid to employees, employers are fined 500,000 yen. </w:t>
      </w:r>
    </w:p>
    <w:p w14:paraId="4002A48B" w14:textId="77777777" w:rsidR="001B0A42" w:rsidRPr="00CC0E09" w:rsidRDefault="001B0A42" w:rsidP="00CC0E09">
      <w:pPr>
        <w:spacing w:line="276" w:lineRule="auto"/>
        <w:rPr>
          <w:rFonts w:ascii="Palatino" w:hAnsi="Palatino"/>
          <w:sz w:val="20"/>
        </w:rPr>
      </w:pPr>
      <w:r w:rsidRPr="00CC0E09">
        <w:rPr>
          <w:rFonts w:ascii="Palatino" w:hAnsi="Palatino"/>
          <w:sz w:val="20"/>
        </w:rPr>
        <w:t xml:space="preserve">Two kinds of the minimum wage, “the regional minimum wage” applies to all employees in a region regardless of difference of industries, and “the specific minimum wage,” which is more expensive than the regional minimum wage, applies to workers who work at specific industries (electromechanical apparatus manufacturing, automotive retailing, </w:t>
      </w:r>
      <w:proofErr w:type="spellStart"/>
      <w:r w:rsidRPr="00CC0E09">
        <w:rPr>
          <w:rFonts w:ascii="Palatino" w:hAnsi="Palatino"/>
          <w:sz w:val="20"/>
        </w:rPr>
        <w:t>etc</w:t>
      </w:r>
      <w:proofErr w:type="spellEnd"/>
      <w:r w:rsidRPr="00CC0E09">
        <w:rPr>
          <w:rFonts w:ascii="Palatino" w:hAnsi="Palatino"/>
          <w:sz w:val="20"/>
        </w:rPr>
        <w:t>), are set.</w:t>
      </w:r>
    </w:p>
    <w:p w14:paraId="45694AB5" w14:textId="77777777" w:rsidR="007A194A" w:rsidRPr="00CC0E09" w:rsidRDefault="007A194A" w:rsidP="00CC0E09">
      <w:pPr>
        <w:spacing w:line="276" w:lineRule="auto"/>
        <w:rPr>
          <w:rFonts w:ascii="Palatino" w:hAnsi="Palatino"/>
          <w:b/>
          <w:sz w:val="22"/>
          <w:szCs w:val="22"/>
        </w:rPr>
      </w:pPr>
    </w:p>
    <w:p w14:paraId="620E2231" w14:textId="7E1FC725" w:rsidR="001B0A42" w:rsidRPr="00CC0E09" w:rsidRDefault="001B0A42" w:rsidP="00CC0E09">
      <w:pPr>
        <w:spacing w:line="276" w:lineRule="auto"/>
        <w:rPr>
          <w:rFonts w:ascii="Palatino" w:hAnsi="Palatino"/>
          <w:b/>
          <w:sz w:val="22"/>
          <w:szCs w:val="22"/>
        </w:rPr>
      </w:pPr>
      <w:r w:rsidRPr="00CC0E09">
        <w:rPr>
          <w:rFonts w:ascii="Palatino" w:hAnsi="Palatino"/>
          <w:b/>
          <w:sz w:val="22"/>
          <w:szCs w:val="22"/>
        </w:rPr>
        <w:t xml:space="preserve">3 </w:t>
      </w:r>
      <w:r w:rsidR="00860571" w:rsidRPr="00CC0E09">
        <w:rPr>
          <w:rFonts w:ascii="Palatino" w:hAnsi="Palatino"/>
          <w:b/>
          <w:sz w:val="22"/>
          <w:szCs w:val="22"/>
        </w:rPr>
        <w:t>E</w:t>
      </w:r>
      <w:r w:rsidRPr="00CC0E09">
        <w:rPr>
          <w:rFonts w:ascii="Palatino" w:hAnsi="Palatino"/>
          <w:b/>
          <w:sz w:val="22"/>
          <w:szCs w:val="22"/>
        </w:rPr>
        <w:t>mployment Insurance</w:t>
      </w:r>
      <w:r w:rsidR="00821091" w:rsidRPr="00CC0E09">
        <w:rPr>
          <w:rFonts w:ascii="Palatino" w:hAnsi="Palatino"/>
          <w:b/>
          <w:sz w:val="22"/>
          <w:szCs w:val="22"/>
        </w:rPr>
        <w:t xml:space="preserve"> </w:t>
      </w:r>
      <w:r w:rsidR="00A95704" w:rsidRPr="00CC0E09">
        <w:rPr>
          <w:rFonts w:ascii="Palatino" w:hAnsi="Palatino"/>
          <w:b/>
          <w:sz w:val="22"/>
          <w:szCs w:val="22"/>
        </w:rPr>
        <w:t>(unemployment benefit)</w:t>
      </w:r>
    </w:p>
    <w:p w14:paraId="54F1E71C" w14:textId="60856387" w:rsidR="00882A0C" w:rsidRPr="00CC0E09" w:rsidRDefault="00433C6E" w:rsidP="00CC0E09">
      <w:pPr>
        <w:spacing w:line="276" w:lineRule="auto"/>
        <w:rPr>
          <w:rFonts w:ascii="Palatino" w:hAnsi="Palatino"/>
          <w:sz w:val="20"/>
        </w:rPr>
      </w:pPr>
      <w:r w:rsidRPr="00CC0E09">
        <w:rPr>
          <w:rFonts w:ascii="Palatino" w:hAnsi="Palatino"/>
          <w:sz w:val="20"/>
        </w:rPr>
        <w:t xml:space="preserve">　</w:t>
      </w:r>
      <w:r w:rsidR="00860571" w:rsidRPr="00CC0E09">
        <w:rPr>
          <w:rFonts w:ascii="Palatino" w:hAnsi="Palatino"/>
          <w:sz w:val="20"/>
        </w:rPr>
        <w:t>E</w:t>
      </w:r>
      <w:r w:rsidR="00A44436" w:rsidRPr="00CC0E09">
        <w:rPr>
          <w:rFonts w:ascii="Palatino" w:hAnsi="Palatino"/>
          <w:sz w:val="20"/>
        </w:rPr>
        <w:t>mployment Insurance is an obligatory insurance managed by the government</w:t>
      </w:r>
      <w:r w:rsidR="00114123" w:rsidRPr="00CC0E09">
        <w:rPr>
          <w:rFonts w:ascii="Palatino" w:hAnsi="Palatino"/>
          <w:sz w:val="20"/>
        </w:rPr>
        <w:t>.</w:t>
      </w:r>
      <w:r w:rsidR="00A44436" w:rsidRPr="00CC0E09">
        <w:rPr>
          <w:rFonts w:ascii="Palatino" w:hAnsi="Palatino"/>
          <w:sz w:val="20"/>
        </w:rPr>
        <w:t xml:space="preserve"> </w:t>
      </w:r>
      <w:r w:rsidRPr="00CC0E09">
        <w:rPr>
          <w:rFonts w:ascii="Palatino" w:hAnsi="Palatino"/>
          <w:sz w:val="20"/>
        </w:rPr>
        <w:t>A</w:t>
      </w:r>
      <w:r w:rsidR="00F23522" w:rsidRPr="00CC0E09">
        <w:rPr>
          <w:rFonts w:ascii="Palatino" w:hAnsi="Palatino"/>
          <w:sz w:val="20"/>
        </w:rPr>
        <w:t xml:space="preserve"> employees who work 20 hours a week and who are going to be employed for 31 days </w:t>
      </w:r>
      <w:r w:rsidR="002056F5" w:rsidRPr="00CC0E09">
        <w:rPr>
          <w:rFonts w:ascii="Palatino" w:hAnsi="Palatino"/>
          <w:sz w:val="20"/>
        </w:rPr>
        <w:t xml:space="preserve">or longer </w:t>
      </w:r>
      <w:r w:rsidR="00F23522" w:rsidRPr="00CC0E09">
        <w:rPr>
          <w:rFonts w:ascii="Palatino" w:hAnsi="Palatino"/>
          <w:sz w:val="20"/>
        </w:rPr>
        <w:t xml:space="preserve">are covered by this insurance. </w:t>
      </w:r>
    </w:p>
    <w:p w14:paraId="3C37B8C7" w14:textId="78480BBB" w:rsidR="00821091" w:rsidRPr="00CC0E09" w:rsidRDefault="00882A0C" w:rsidP="00CC0E09">
      <w:pPr>
        <w:spacing w:line="276" w:lineRule="auto"/>
        <w:rPr>
          <w:rFonts w:ascii="Palatino" w:hAnsi="Palatino"/>
          <w:sz w:val="20"/>
        </w:rPr>
      </w:pPr>
      <w:r w:rsidRPr="00CC0E09">
        <w:rPr>
          <w:rFonts w:ascii="Palatino" w:hAnsi="Palatino"/>
          <w:sz w:val="20"/>
        </w:rPr>
        <w:t xml:space="preserve">   </w:t>
      </w:r>
      <w:r w:rsidR="00821091" w:rsidRPr="00CC0E09">
        <w:rPr>
          <w:rFonts w:ascii="Palatino" w:hAnsi="Palatino"/>
          <w:sz w:val="20"/>
        </w:rPr>
        <w:t>Benefits for Unemployment consist of the job applicant benefits, employment promotion benefits, educational training benefits and continuous employment benefits. The job applicant benefits consist of the following:(1)</w:t>
      </w:r>
      <w:r w:rsidR="00821091" w:rsidRPr="00CC0E09">
        <w:rPr>
          <w:rFonts w:ascii="Palatino" w:hAnsi="Palatino"/>
          <w:sz w:val="20"/>
        </w:rPr>
        <w:t xml:space="preserve">　</w:t>
      </w:r>
      <w:r w:rsidR="00821091" w:rsidRPr="00CC0E09">
        <w:rPr>
          <w:rFonts w:ascii="Palatino" w:hAnsi="Palatino"/>
          <w:sz w:val="20"/>
        </w:rPr>
        <w:t>Basic allowance; (2)</w:t>
      </w:r>
      <w:r w:rsidR="00821091" w:rsidRPr="00CC0E09">
        <w:rPr>
          <w:rFonts w:ascii="Palatino" w:hAnsi="Palatino"/>
          <w:sz w:val="20"/>
        </w:rPr>
        <w:t xml:space="preserve">　</w:t>
      </w:r>
      <w:r w:rsidR="00821091" w:rsidRPr="00CC0E09">
        <w:rPr>
          <w:rFonts w:ascii="Palatino" w:hAnsi="Palatino"/>
          <w:sz w:val="20"/>
        </w:rPr>
        <w:t>Skill acquisition allowance;(3)</w:t>
      </w:r>
      <w:r w:rsidR="00821091" w:rsidRPr="00CC0E09">
        <w:rPr>
          <w:rFonts w:ascii="Palatino" w:hAnsi="Palatino"/>
          <w:sz w:val="20"/>
        </w:rPr>
        <w:t xml:space="preserve">　</w:t>
      </w:r>
      <w:r w:rsidR="00821091" w:rsidRPr="00CC0E09">
        <w:rPr>
          <w:rFonts w:ascii="Palatino" w:hAnsi="Palatino"/>
          <w:sz w:val="20"/>
        </w:rPr>
        <w:t>Lodging allowance;(4)Injury and disease allowance.</w:t>
      </w:r>
    </w:p>
    <w:p w14:paraId="1E3CDEF8" w14:textId="72306058" w:rsidR="00F23522" w:rsidRPr="00CC0E09" w:rsidRDefault="00821091" w:rsidP="00CC0E09">
      <w:pPr>
        <w:spacing w:line="276" w:lineRule="auto"/>
        <w:rPr>
          <w:rFonts w:ascii="Palatino" w:hAnsi="Palatino"/>
          <w:sz w:val="20"/>
        </w:rPr>
      </w:pPr>
      <w:r w:rsidRPr="00CC0E09">
        <w:rPr>
          <w:rFonts w:ascii="Palatino" w:hAnsi="Palatino"/>
          <w:sz w:val="20"/>
        </w:rPr>
        <w:t xml:space="preserve">    </w:t>
      </w:r>
      <w:r w:rsidR="00A96944" w:rsidRPr="00CC0E09">
        <w:rPr>
          <w:rFonts w:ascii="Palatino" w:hAnsi="Palatino"/>
          <w:sz w:val="20"/>
        </w:rPr>
        <w:t>The basic allowance</w:t>
      </w:r>
      <w:r w:rsidR="00F23522" w:rsidRPr="00CC0E09">
        <w:rPr>
          <w:rFonts w:ascii="Palatino" w:hAnsi="Palatino"/>
          <w:sz w:val="20"/>
        </w:rPr>
        <w:t xml:space="preserve"> is provided when employee covered by employment insurance is forced to leave employment or leaves employment for his or her own reasons and is unable to find a new job despite having a positive will to get employment and the ability to take up a job any time. In case of voluntary resignation or having reached the retirement age, the employee needs to have been covered by employment insurance for at least 12 full months in two years preceding the day of his or her becoming unemployed. If a person was made jobless for the reason of bankruptcy or dismissal, benefits eligibility is to have been insured for </w:t>
      </w:r>
      <w:r w:rsidR="002056F5" w:rsidRPr="00CC0E09">
        <w:rPr>
          <w:rFonts w:ascii="Palatino" w:hAnsi="Palatino"/>
          <w:sz w:val="20"/>
        </w:rPr>
        <w:t>6</w:t>
      </w:r>
      <w:r w:rsidR="00F23522" w:rsidRPr="00CC0E09">
        <w:rPr>
          <w:rFonts w:ascii="Palatino" w:hAnsi="Palatino"/>
          <w:sz w:val="20"/>
        </w:rPr>
        <w:t xml:space="preserve"> months or more in total for one year prior to the date of becoming jobless.</w:t>
      </w:r>
    </w:p>
    <w:p w14:paraId="6B586DBE" w14:textId="123380DD" w:rsidR="00A96944" w:rsidRPr="00CC0E09" w:rsidRDefault="00F23522" w:rsidP="00CC0E09">
      <w:pPr>
        <w:spacing w:line="276" w:lineRule="auto"/>
        <w:rPr>
          <w:rFonts w:ascii="Palatino" w:hAnsi="Palatino"/>
          <w:sz w:val="20"/>
        </w:rPr>
      </w:pPr>
      <w:r w:rsidRPr="00CC0E09">
        <w:rPr>
          <w:rFonts w:ascii="Palatino" w:hAnsi="Palatino"/>
          <w:sz w:val="20"/>
        </w:rPr>
        <w:t xml:space="preserve">    </w:t>
      </w:r>
      <w:r w:rsidR="002056F5" w:rsidRPr="00CC0E09">
        <w:rPr>
          <w:rFonts w:ascii="Palatino" w:hAnsi="Palatino"/>
          <w:sz w:val="20"/>
        </w:rPr>
        <w:t>The maximum benefits period is one year from the day after becoming unemployed and the number of payable days is stipulated according to the insured period and the age of the worker.</w:t>
      </w:r>
    </w:p>
    <w:p w14:paraId="0F117450" w14:textId="77777777" w:rsidR="00CC0E09" w:rsidRPr="00CC0E09" w:rsidRDefault="00CC0E09" w:rsidP="00CC0E09">
      <w:pPr>
        <w:spacing w:line="276" w:lineRule="auto"/>
        <w:rPr>
          <w:rFonts w:ascii="Palatino" w:hAnsi="Palatino"/>
          <w:sz w:val="20"/>
        </w:rPr>
      </w:pPr>
    </w:p>
    <w:p w14:paraId="62BBB74C" w14:textId="2B7302C5" w:rsidR="001B0A42" w:rsidRPr="00757989" w:rsidRDefault="001B0A42" w:rsidP="00CC0E09">
      <w:pPr>
        <w:spacing w:line="276" w:lineRule="auto"/>
        <w:rPr>
          <w:rFonts w:ascii="Palatino" w:hAnsi="Palatino"/>
          <w:b/>
          <w:sz w:val="22"/>
          <w:szCs w:val="22"/>
        </w:rPr>
      </w:pPr>
      <w:r w:rsidRPr="00757989">
        <w:rPr>
          <w:rFonts w:ascii="Palatino" w:hAnsi="Palatino"/>
          <w:b/>
          <w:sz w:val="22"/>
          <w:szCs w:val="22"/>
        </w:rPr>
        <w:t xml:space="preserve">4 </w:t>
      </w:r>
      <w:r w:rsidR="00F5623C" w:rsidRPr="00757989">
        <w:rPr>
          <w:rFonts w:ascii="Palatino" w:hAnsi="Palatino"/>
          <w:b/>
          <w:sz w:val="22"/>
          <w:szCs w:val="22"/>
        </w:rPr>
        <w:t xml:space="preserve">　</w:t>
      </w:r>
      <w:r w:rsidRPr="00757989">
        <w:rPr>
          <w:rFonts w:ascii="Palatino" w:hAnsi="Palatino"/>
          <w:b/>
          <w:sz w:val="22"/>
          <w:szCs w:val="22"/>
        </w:rPr>
        <w:t xml:space="preserve">Jobseeker’s </w:t>
      </w:r>
      <w:r w:rsidR="00F5623C" w:rsidRPr="00757989">
        <w:rPr>
          <w:rFonts w:ascii="Palatino" w:hAnsi="Palatino"/>
          <w:b/>
          <w:sz w:val="22"/>
          <w:szCs w:val="22"/>
        </w:rPr>
        <w:t>support Act</w:t>
      </w:r>
      <w:r w:rsidRPr="00757989">
        <w:rPr>
          <w:rFonts w:ascii="Palatino" w:hAnsi="Palatino"/>
          <w:b/>
          <w:sz w:val="22"/>
          <w:szCs w:val="22"/>
        </w:rPr>
        <w:t xml:space="preserve"> </w:t>
      </w:r>
    </w:p>
    <w:p w14:paraId="49BBD9E9" w14:textId="43A83775" w:rsidR="003E29AD" w:rsidRPr="00CC0E09" w:rsidRDefault="003E29AD" w:rsidP="00CC0E09">
      <w:pPr>
        <w:spacing w:line="276" w:lineRule="auto"/>
        <w:rPr>
          <w:rFonts w:ascii="Palatino" w:hAnsi="Palatino"/>
          <w:sz w:val="20"/>
        </w:rPr>
      </w:pPr>
      <w:r w:rsidRPr="00CC0E09">
        <w:rPr>
          <w:rFonts w:ascii="Palatino" w:hAnsi="Palatino"/>
          <w:sz w:val="20"/>
        </w:rPr>
        <w:t>Unemployed persons who are not enrolled in the employment insurance scheme are eligible to receive free vocational training.</w:t>
      </w:r>
      <w:r w:rsidR="00CC0E09">
        <w:rPr>
          <w:rFonts w:ascii="Palatino" w:hAnsi="Palatino"/>
          <w:sz w:val="20"/>
        </w:rPr>
        <w:t xml:space="preserve"> </w:t>
      </w:r>
      <w:r w:rsidRPr="00CC0E09">
        <w:rPr>
          <w:rFonts w:ascii="Palatino" w:hAnsi="Palatino"/>
          <w:sz w:val="20"/>
        </w:rPr>
        <w:t xml:space="preserve">Those persons who satisfy the </w:t>
      </w:r>
      <w:r w:rsidR="008B4B41" w:rsidRPr="00CC0E09">
        <w:rPr>
          <w:rFonts w:ascii="Palatino" w:hAnsi="Palatino"/>
          <w:sz w:val="20"/>
        </w:rPr>
        <w:t xml:space="preserve">　</w:t>
      </w:r>
      <w:r w:rsidR="008B4B41" w:rsidRPr="00CC0E09">
        <w:rPr>
          <w:rFonts w:ascii="Palatino" w:hAnsi="Palatino"/>
          <w:sz w:val="20"/>
        </w:rPr>
        <w:t xml:space="preserve">following </w:t>
      </w:r>
      <w:r w:rsidRPr="00CC0E09">
        <w:rPr>
          <w:rFonts w:ascii="Palatino" w:hAnsi="Palatino"/>
          <w:sz w:val="20"/>
        </w:rPr>
        <w:t>conditions can also receive a vocational training allowance (</w:t>
      </w:r>
      <w:r w:rsidR="00757989">
        <w:rPr>
          <w:rFonts w:ascii="Palatino" w:hAnsi="Palatino" w:hint="eastAsia"/>
          <w:sz w:val="20"/>
        </w:rPr>
        <w:t>¥</w:t>
      </w:r>
      <w:r w:rsidR="00757989">
        <w:rPr>
          <w:rFonts w:ascii="Palatino" w:hAnsi="Palatino"/>
          <w:sz w:val="20"/>
        </w:rPr>
        <w:t xml:space="preserve">100,000 </w:t>
      </w:r>
      <w:r w:rsidRPr="00CC0E09">
        <w:rPr>
          <w:rFonts w:ascii="Palatino" w:hAnsi="Palatino"/>
          <w:sz w:val="20"/>
        </w:rPr>
        <w:t xml:space="preserve">/month) while undergoing training. </w:t>
      </w:r>
    </w:p>
    <w:p w14:paraId="7B1215C3" w14:textId="62E23180" w:rsidR="008B4B41" w:rsidRPr="00CC0E09" w:rsidRDefault="008B4B41" w:rsidP="00CC0E09">
      <w:pPr>
        <w:spacing w:line="276" w:lineRule="auto"/>
        <w:rPr>
          <w:rFonts w:ascii="Palatino" w:hAnsi="Palatino"/>
          <w:sz w:val="20"/>
        </w:rPr>
      </w:pPr>
      <w:r w:rsidRPr="00CC0E09">
        <w:rPr>
          <w:rFonts w:ascii="Palatino" w:hAnsi="Palatino"/>
          <w:sz w:val="20"/>
        </w:rPr>
        <w:t xml:space="preserve">  The conditions are;</w:t>
      </w:r>
    </w:p>
    <w:p w14:paraId="7FD9D58B" w14:textId="289DC079" w:rsidR="008B4B41" w:rsidRPr="00CC0E09" w:rsidRDefault="008B4B41" w:rsidP="00CC0E09">
      <w:pPr>
        <w:spacing w:line="276" w:lineRule="auto"/>
        <w:rPr>
          <w:rFonts w:ascii="Palatino" w:hAnsi="Palatino"/>
          <w:sz w:val="20"/>
        </w:rPr>
      </w:pPr>
      <w:r w:rsidRPr="00CC0E09">
        <w:rPr>
          <w:rFonts w:ascii="Palatino" w:hAnsi="Palatino"/>
          <w:sz w:val="20"/>
        </w:rPr>
        <w:t xml:space="preserve">Applicant’s monthly income </w:t>
      </w:r>
      <w:r w:rsidR="00270C80" w:rsidRPr="00CC0E09">
        <w:rPr>
          <w:rFonts w:ascii="Palatino" w:hAnsi="Palatino"/>
          <w:sz w:val="20"/>
        </w:rPr>
        <w:t>is</w:t>
      </w:r>
      <w:r w:rsidRPr="00CC0E09">
        <w:rPr>
          <w:rFonts w:ascii="Palatino" w:hAnsi="Palatino"/>
          <w:sz w:val="20"/>
        </w:rPr>
        <w:t xml:space="preserve"> </w:t>
      </w:r>
      <w:r w:rsidR="00757989">
        <w:rPr>
          <w:rFonts w:ascii="Palatino" w:hAnsi="Palatino" w:hint="eastAsia"/>
          <w:sz w:val="20"/>
        </w:rPr>
        <w:t>¥</w:t>
      </w:r>
      <w:r w:rsidR="00757989">
        <w:rPr>
          <w:rFonts w:ascii="Palatino" w:hAnsi="Palatino"/>
          <w:sz w:val="20"/>
        </w:rPr>
        <w:t>80,000</w:t>
      </w:r>
      <w:r w:rsidRPr="00CC0E09">
        <w:rPr>
          <w:rFonts w:ascii="Palatino" w:hAnsi="Palatino"/>
          <w:sz w:val="20"/>
        </w:rPr>
        <w:t xml:space="preserve"> and under. </w:t>
      </w:r>
    </w:p>
    <w:p w14:paraId="469A5E73" w14:textId="100AA1EB" w:rsidR="008B4B41" w:rsidRPr="00CC0E09" w:rsidRDefault="008B4B41" w:rsidP="00CC0E09">
      <w:pPr>
        <w:spacing w:line="276" w:lineRule="auto"/>
        <w:rPr>
          <w:rFonts w:ascii="Palatino" w:hAnsi="Palatino"/>
          <w:sz w:val="20"/>
        </w:rPr>
      </w:pPr>
      <w:r w:rsidRPr="00CC0E09">
        <w:rPr>
          <w:rFonts w:ascii="Palatino" w:hAnsi="Palatino"/>
          <w:sz w:val="20"/>
        </w:rPr>
        <w:t xml:space="preserve">Applicant’s household income is </w:t>
      </w:r>
      <w:r w:rsidR="00757989">
        <w:rPr>
          <w:rFonts w:ascii="Palatino" w:hAnsi="Palatino" w:hint="eastAsia"/>
          <w:sz w:val="20"/>
        </w:rPr>
        <w:t>¥</w:t>
      </w:r>
      <w:r w:rsidR="00757989">
        <w:rPr>
          <w:rFonts w:ascii="Palatino" w:hAnsi="Palatino"/>
          <w:sz w:val="20"/>
        </w:rPr>
        <w:t xml:space="preserve">250,000 </w:t>
      </w:r>
      <w:r w:rsidRPr="00CC0E09">
        <w:rPr>
          <w:rFonts w:ascii="Palatino" w:hAnsi="Palatino"/>
          <w:sz w:val="20"/>
        </w:rPr>
        <w:t xml:space="preserve"> and under. </w:t>
      </w:r>
    </w:p>
    <w:p w14:paraId="0CCC9560" w14:textId="70A4CCAD" w:rsidR="008B4B41" w:rsidRPr="00CC0E09" w:rsidRDefault="008B4B41" w:rsidP="00CC0E09">
      <w:pPr>
        <w:spacing w:line="276" w:lineRule="auto"/>
        <w:rPr>
          <w:rFonts w:ascii="Palatino" w:hAnsi="Palatino"/>
          <w:sz w:val="20"/>
        </w:rPr>
      </w:pPr>
      <w:r w:rsidRPr="00CC0E09">
        <w:rPr>
          <w:rFonts w:ascii="Palatino" w:hAnsi="Palatino"/>
          <w:sz w:val="20"/>
        </w:rPr>
        <w:t>Applicant’s</w:t>
      </w:r>
      <w:r w:rsidR="0039468A" w:rsidRPr="00CC0E09">
        <w:rPr>
          <w:rFonts w:ascii="Palatino" w:hAnsi="Palatino"/>
          <w:sz w:val="20"/>
        </w:rPr>
        <w:t xml:space="preserve">　</w:t>
      </w:r>
      <w:r w:rsidR="0039468A" w:rsidRPr="00CC0E09">
        <w:rPr>
          <w:rFonts w:ascii="Palatino" w:hAnsi="Palatino"/>
          <w:sz w:val="20"/>
        </w:rPr>
        <w:t xml:space="preserve">monetary assets are </w:t>
      </w:r>
      <w:r w:rsidR="00757989">
        <w:rPr>
          <w:rFonts w:ascii="Palatino" w:hAnsi="Palatino" w:hint="eastAsia"/>
          <w:sz w:val="20"/>
        </w:rPr>
        <w:t>¥</w:t>
      </w:r>
      <w:r w:rsidR="0039468A" w:rsidRPr="00CC0E09">
        <w:rPr>
          <w:rFonts w:ascii="Palatino" w:hAnsi="Palatino"/>
          <w:sz w:val="20"/>
        </w:rPr>
        <w:t>3,000,000 and under.</w:t>
      </w:r>
    </w:p>
    <w:p w14:paraId="3A39307B" w14:textId="46CD9D99" w:rsidR="008B4B41" w:rsidRPr="00CC0E09" w:rsidRDefault="0039468A" w:rsidP="00CC0E09">
      <w:pPr>
        <w:spacing w:line="276" w:lineRule="auto"/>
        <w:rPr>
          <w:rFonts w:ascii="Palatino" w:hAnsi="Palatino"/>
          <w:sz w:val="20"/>
        </w:rPr>
      </w:pPr>
      <w:r w:rsidRPr="00CC0E09">
        <w:rPr>
          <w:rFonts w:ascii="Palatino" w:hAnsi="Palatino"/>
          <w:sz w:val="20"/>
        </w:rPr>
        <w:t>Applicant does not own any house and land property.</w:t>
      </w:r>
    </w:p>
    <w:p w14:paraId="58EC6534" w14:textId="4BB668BA" w:rsidR="008B4B41" w:rsidRPr="00CC0E09" w:rsidRDefault="0039468A" w:rsidP="00CC0E09">
      <w:pPr>
        <w:spacing w:line="276" w:lineRule="auto"/>
        <w:rPr>
          <w:rFonts w:ascii="Palatino" w:hAnsi="Palatino"/>
          <w:sz w:val="20"/>
        </w:rPr>
      </w:pPr>
      <w:r w:rsidRPr="00CC0E09">
        <w:rPr>
          <w:rFonts w:ascii="Palatino" w:hAnsi="Palatino"/>
          <w:sz w:val="20"/>
        </w:rPr>
        <w:t xml:space="preserve">Applicant </w:t>
      </w:r>
      <w:r w:rsidR="00270C80" w:rsidRPr="00CC0E09">
        <w:rPr>
          <w:rFonts w:ascii="Palatino" w:hAnsi="Palatino"/>
          <w:sz w:val="20"/>
        </w:rPr>
        <w:t>must</w:t>
      </w:r>
      <w:r w:rsidRPr="00CC0E09">
        <w:rPr>
          <w:rFonts w:ascii="Palatino" w:hAnsi="Palatino"/>
          <w:sz w:val="20"/>
        </w:rPr>
        <w:t xml:space="preserve"> present over 80% of </w:t>
      </w:r>
      <w:r w:rsidR="00270C80" w:rsidRPr="00CC0E09">
        <w:rPr>
          <w:rFonts w:ascii="Palatino" w:hAnsi="Palatino"/>
          <w:sz w:val="20"/>
        </w:rPr>
        <w:t>full training time.</w:t>
      </w:r>
    </w:p>
    <w:p w14:paraId="46A39463" w14:textId="48DA3358" w:rsidR="003E29AD" w:rsidRPr="00CC0E09" w:rsidRDefault="00270C80" w:rsidP="00CC0E09">
      <w:pPr>
        <w:spacing w:line="276" w:lineRule="auto"/>
        <w:rPr>
          <w:rFonts w:ascii="Palatino" w:hAnsi="Palatino"/>
          <w:sz w:val="20"/>
        </w:rPr>
      </w:pPr>
      <w:r w:rsidRPr="00CC0E09">
        <w:rPr>
          <w:rFonts w:ascii="Palatino" w:hAnsi="Palatino"/>
          <w:sz w:val="20"/>
        </w:rPr>
        <w:t xml:space="preserve">Applicant must visit  Hallo-work( job </w:t>
      </w:r>
      <w:proofErr w:type="spellStart"/>
      <w:r w:rsidRPr="00CC0E09">
        <w:rPr>
          <w:rFonts w:ascii="Palatino" w:hAnsi="Palatino"/>
          <w:sz w:val="20"/>
        </w:rPr>
        <w:t>centre</w:t>
      </w:r>
      <w:proofErr w:type="spellEnd"/>
      <w:r w:rsidRPr="00CC0E09">
        <w:rPr>
          <w:rFonts w:ascii="Palatino" w:hAnsi="Palatino"/>
          <w:sz w:val="20"/>
        </w:rPr>
        <w:t>) regularly.</w:t>
      </w:r>
    </w:p>
    <w:p w14:paraId="53429288" w14:textId="77777777" w:rsidR="001B0A42" w:rsidRPr="00CC0E09" w:rsidRDefault="001B0A42" w:rsidP="00CC0E09">
      <w:pPr>
        <w:rPr>
          <w:sz w:val="20"/>
        </w:rPr>
      </w:pPr>
    </w:p>
    <w:sectPr w:rsidR="001B0A42" w:rsidRPr="00CC0E09" w:rsidSect="00E056B1">
      <w:endnotePr>
        <w:numFmt w:val="decimal"/>
      </w:endnotePr>
      <w:pgSz w:w="11906" w:h="16838"/>
      <w:pgMar w:top="1701" w:right="1418" w:bottom="1134" w:left="1134" w:header="851" w:footer="992" w:gutter="0"/>
      <w:cols w:space="425"/>
      <w:docGrid w:type="linesAndChars" w:linePitch="480" w:charSpace="558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2F0A0" w14:textId="77777777" w:rsidR="000E4F99" w:rsidRDefault="000E4F99" w:rsidP="005432C2">
      <w:r>
        <w:separator/>
      </w:r>
    </w:p>
  </w:endnote>
  <w:endnote w:type="continuationSeparator" w:id="0">
    <w:p w14:paraId="1E007E83" w14:textId="77777777" w:rsidR="000E4F99" w:rsidRDefault="000E4F99" w:rsidP="005432C2">
      <w:r>
        <w:continuationSeparator/>
      </w:r>
    </w:p>
  </w:endnote>
  <w:endnote w:id="1">
    <w:p w14:paraId="68B7D2A2" w14:textId="77777777" w:rsidR="000E4F99" w:rsidRPr="000D4321" w:rsidRDefault="000E4F99" w:rsidP="00053FDA">
      <w:pPr>
        <w:pStyle w:val="a6"/>
        <w:rPr>
          <w:rFonts w:asciiTheme="minorHAnsi" w:eastAsia="HG丸ｺﾞｼｯｸM-PRO" w:hAnsiTheme="minorHAnsi" w:cstheme="majorHAnsi"/>
        </w:rPr>
      </w:pPr>
    </w:p>
    <w:p w14:paraId="6F187165" w14:textId="77777777" w:rsidR="000E4F99" w:rsidRPr="000D4321" w:rsidRDefault="000E4F99" w:rsidP="00C40E30">
      <w:pPr>
        <w:pStyle w:val="a6"/>
        <w:rPr>
          <w:rFonts w:asciiTheme="minorHAnsi" w:eastAsia="HG丸ｺﾞｼｯｸM-PRO" w:hAnsiTheme="minorHAnsi" w:cstheme="majorHAnsi"/>
        </w:rPr>
      </w:pPr>
    </w:p>
    <w:p w14:paraId="17C31E70" w14:textId="77777777" w:rsidR="000E4F99" w:rsidRPr="000D4321" w:rsidRDefault="000E4F99" w:rsidP="00C40E30">
      <w:pPr>
        <w:pStyle w:val="a6"/>
        <w:rPr>
          <w:rFonts w:asciiTheme="minorHAnsi" w:eastAsia="HG丸ｺﾞｼｯｸM-PRO" w:hAnsiTheme="minorHAnsi" w:cstheme="maj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00000001" w:usb1="08070000" w:usb2="00000010" w:usb3="00000000" w:csb0="00020000" w:csb1="00000000"/>
  </w:font>
  <w:font w:name="Century">
    <w:panose1 w:val="02040604050505020304"/>
    <w:charset w:val="00"/>
    <w:family w:val="auto"/>
    <w:pitch w:val="variable"/>
    <w:sig w:usb0="00000287" w:usb1="00000000" w:usb2="00000000" w:usb3="00000000" w:csb0="0000009F" w:csb1="00000000"/>
  </w:font>
  <w:font w:name="Palatino">
    <w:panose1 w:val="02000500000000000000"/>
    <w:charset w:val="00"/>
    <w:family w:val="auto"/>
    <w:pitch w:val="variable"/>
    <w:sig w:usb0="00000003" w:usb1="00000000" w:usb2="00000000" w:usb3="00000000" w:csb0="00000001" w:csb1="00000000"/>
  </w:font>
  <w:font w:name="HG丸ｺﾞｼｯｸM-PRO">
    <w:panose1 w:val="020F0600000000000000"/>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6C600" w14:textId="77777777" w:rsidR="000E4F99" w:rsidRDefault="000E4F99" w:rsidP="005432C2">
      <w:r>
        <w:separator/>
      </w:r>
    </w:p>
  </w:footnote>
  <w:footnote w:type="continuationSeparator" w:id="0">
    <w:p w14:paraId="3F676FAD" w14:textId="77777777" w:rsidR="000E4F99" w:rsidRDefault="000E4F99" w:rsidP="005432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A1E0D"/>
    <w:multiLevelType w:val="hybridMultilevel"/>
    <w:tmpl w:val="3BCC7E3A"/>
    <w:lvl w:ilvl="0" w:tplc="A340592A">
      <w:start w:val="1"/>
      <w:numFmt w:val="decimal"/>
      <w:lvlText w:val="%1."/>
      <w:lvlJc w:val="left"/>
      <w:pPr>
        <w:ind w:left="360" w:hanging="360"/>
      </w:pPr>
      <w:rPr>
        <w:rFonts w:cstheme="majorHAnsi" w:hint="default"/>
        <w:sz w:val="28"/>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73AC5C83"/>
    <w:multiLevelType w:val="hybridMultilevel"/>
    <w:tmpl w:val="A752A860"/>
    <w:lvl w:ilvl="0" w:tplc="C7DA834E">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dirty"/>
  <w:defaultTabStop w:val="960"/>
  <w:drawingGridHorizontalSpacing w:val="267"/>
  <w:drawingGridVerticalSpacing w:val="240"/>
  <w:displayHorizontalDrawingGridEvery w:val="0"/>
  <w:displayVerticalDrawingGridEvery w:val="2"/>
  <w:characterSpacingControl w:val="compressPunctuation"/>
  <w:savePreviewPicture/>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C2"/>
    <w:rsid w:val="00027684"/>
    <w:rsid w:val="000418E5"/>
    <w:rsid w:val="00045569"/>
    <w:rsid w:val="00053FDA"/>
    <w:rsid w:val="000C06C6"/>
    <w:rsid w:val="000D4321"/>
    <w:rsid w:val="000E4F99"/>
    <w:rsid w:val="00101B2D"/>
    <w:rsid w:val="00114123"/>
    <w:rsid w:val="00174341"/>
    <w:rsid w:val="00187727"/>
    <w:rsid w:val="00190B96"/>
    <w:rsid w:val="001B0A42"/>
    <w:rsid w:val="002056F5"/>
    <w:rsid w:val="0023358F"/>
    <w:rsid w:val="00234691"/>
    <w:rsid w:val="00270C80"/>
    <w:rsid w:val="00287E36"/>
    <w:rsid w:val="0030027E"/>
    <w:rsid w:val="00380CB7"/>
    <w:rsid w:val="003828CE"/>
    <w:rsid w:val="00383A7F"/>
    <w:rsid w:val="0039468A"/>
    <w:rsid w:val="003C0845"/>
    <w:rsid w:val="003E29AD"/>
    <w:rsid w:val="004050D2"/>
    <w:rsid w:val="00433C6E"/>
    <w:rsid w:val="004679B3"/>
    <w:rsid w:val="0047712F"/>
    <w:rsid w:val="00484FE5"/>
    <w:rsid w:val="004C3EB3"/>
    <w:rsid w:val="00513402"/>
    <w:rsid w:val="005432C2"/>
    <w:rsid w:val="00574C77"/>
    <w:rsid w:val="005D6C74"/>
    <w:rsid w:val="00624CAE"/>
    <w:rsid w:val="00644B2B"/>
    <w:rsid w:val="00647633"/>
    <w:rsid w:val="006D0645"/>
    <w:rsid w:val="00700EB4"/>
    <w:rsid w:val="00757989"/>
    <w:rsid w:val="007760CE"/>
    <w:rsid w:val="007A194A"/>
    <w:rsid w:val="00821091"/>
    <w:rsid w:val="008444BF"/>
    <w:rsid w:val="00860571"/>
    <w:rsid w:val="00882A0C"/>
    <w:rsid w:val="008B4B41"/>
    <w:rsid w:val="008C14CE"/>
    <w:rsid w:val="008C3602"/>
    <w:rsid w:val="008C473E"/>
    <w:rsid w:val="008D1CAB"/>
    <w:rsid w:val="009354B6"/>
    <w:rsid w:val="00944739"/>
    <w:rsid w:val="009B7E35"/>
    <w:rsid w:val="009F6434"/>
    <w:rsid w:val="00A44436"/>
    <w:rsid w:val="00A72596"/>
    <w:rsid w:val="00A95704"/>
    <w:rsid w:val="00A96944"/>
    <w:rsid w:val="00B318D2"/>
    <w:rsid w:val="00B63D3D"/>
    <w:rsid w:val="00B67F4D"/>
    <w:rsid w:val="00B86DF4"/>
    <w:rsid w:val="00BA0407"/>
    <w:rsid w:val="00BA7961"/>
    <w:rsid w:val="00BD4717"/>
    <w:rsid w:val="00C13480"/>
    <w:rsid w:val="00C21E6F"/>
    <w:rsid w:val="00C25CD8"/>
    <w:rsid w:val="00C40E30"/>
    <w:rsid w:val="00C85A8A"/>
    <w:rsid w:val="00C91209"/>
    <w:rsid w:val="00CA286F"/>
    <w:rsid w:val="00CA2B0C"/>
    <w:rsid w:val="00CC0E09"/>
    <w:rsid w:val="00D32BB0"/>
    <w:rsid w:val="00D44947"/>
    <w:rsid w:val="00D450EA"/>
    <w:rsid w:val="00DE3AE7"/>
    <w:rsid w:val="00E056B1"/>
    <w:rsid w:val="00E1491D"/>
    <w:rsid w:val="00EB57D7"/>
    <w:rsid w:val="00F21521"/>
    <w:rsid w:val="00F23522"/>
    <w:rsid w:val="00F5623C"/>
    <w:rsid w:val="00FB7E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6BF5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Theme="minorEastAsia" w:hAnsi="ＭＳ 明朝"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9B3"/>
    <w:pPr>
      <w:widowControl w:val="0"/>
      <w:spacing w:line="360" w:lineRule="auto"/>
      <w:jc w:val="both"/>
    </w:pPr>
    <w:rPr>
      <w:kern w:val="2"/>
      <w:sz w:val="24"/>
    </w:rPr>
  </w:style>
  <w:style w:type="paragraph" w:styleId="1">
    <w:name w:val="heading 1"/>
    <w:basedOn w:val="a"/>
    <w:next w:val="a"/>
    <w:link w:val="10"/>
    <w:uiPriority w:val="9"/>
    <w:qFormat/>
    <w:rsid w:val="00A7259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318D2"/>
    <w:pPr>
      <w:snapToGrid w:val="0"/>
      <w:jc w:val="left"/>
    </w:pPr>
  </w:style>
  <w:style w:type="character" w:customStyle="1" w:styleId="a4">
    <w:name w:val="脚注文字列 (文字)"/>
    <w:basedOn w:val="a0"/>
    <w:link w:val="a3"/>
    <w:uiPriority w:val="99"/>
    <w:rsid w:val="00B318D2"/>
    <w:rPr>
      <w:kern w:val="2"/>
      <w:sz w:val="24"/>
    </w:rPr>
  </w:style>
  <w:style w:type="character" w:styleId="a5">
    <w:name w:val="footnote reference"/>
    <w:basedOn w:val="a0"/>
    <w:uiPriority w:val="99"/>
    <w:unhideWhenUsed/>
    <w:rsid w:val="00B318D2"/>
    <w:rPr>
      <w:vertAlign w:val="superscript"/>
    </w:rPr>
  </w:style>
  <w:style w:type="paragraph" w:styleId="a6">
    <w:name w:val="endnote text"/>
    <w:basedOn w:val="a"/>
    <w:link w:val="a7"/>
    <w:uiPriority w:val="99"/>
    <w:unhideWhenUsed/>
    <w:rsid w:val="00E056B1"/>
    <w:pPr>
      <w:snapToGrid w:val="0"/>
      <w:jc w:val="left"/>
    </w:pPr>
  </w:style>
  <w:style w:type="character" w:customStyle="1" w:styleId="a7">
    <w:name w:val="文末脚注文字列 (文字)"/>
    <w:basedOn w:val="a0"/>
    <w:link w:val="a6"/>
    <w:uiPriority w:val="99"/>
    <w:rsid w:val="00E056B1"/>
    <w:rPr>
      <w:kern w:val="2"/>
      <w:sz w:val="24"/>
    </w:rPr>
  </w:style>
  <w:style w:type="character" w:styleId="a8">
    <w:name w:val="endnote reference"/>
    <w:basedOn w:val="a0"/>
    <w:uiPriority w:val="99"/>
    <w:unhideWhenUsed/>
    <w:rsid w:val="00E056B1"/>
    <w:rPr>
      <w:vertAlign w:val="superscript"/>
    </w:rPr>
  </w:style>
  <w:style w:type="paragraph" w:styleId="a9">
    <w:name w:val="Balloon Text"/>
    <w:basedOn w:val="a"/>
    <w:link w:val="aa"/>
    <w:uiPriority w:val="99"/>
    <w:semiHidden/>
    <w:unhideWhenUsed/>
    <w:rsid w:val="00D450EA"/>
    <w:pPr>
      <w:spacing w:line="240" w:lineRule="auto"/>
    </w:pPr>
    <w:rPr>
      <w:rFonts w:ascii="ヒラギノ角ゴ ProN W3" w:eastAsia="ヒラギノ角ゴ ProN W3"/>
      <w:sz w:val="18"/>
      <w:szCs w:val="18"/>
    </w:rPr>
  </w:style>
  <w:style w:type="character" w:customStyle="1" w:styleId="aa">
    <w:name w:val="吹き出し (文字)"/>
    <w:basedOn w:val="a0"/>
    <w:link w:val="a9"/>
    <w:uiPriority w:val="99"/>
    <w:semiHidden/>
    <w:rsid w:val="00D450EA"/>
    <w:rPr>
      <w:rFonts w:ascii="ヒラギノ角ゴ ProN W3" w:eastAsia="ヒラギノ角ゴ ProN W3"/>
      <w:kern w:val="2"/>
      <w:sz w:val="18"/>
      <w:szCs w:val="18"/>
    </w:rPr>
  </w:style>
  <w:style w:type="paragraph" w:styleId="ab">
    <w:name w:val="List Paragraph"/>
    <w:basedOn w:val="a"/>
    <w:uiPriority w:val="34"/>
    <w:qFormat/>
    <w:rsid w:val="008B4B41"/>
    <w:pPr>
      <w:ind w:leftChars="400" w:left="960"/>
    </w:pPr>
  </w:style>
  <w:style w:type="paragraph" w:styleId="11">
    <w:name w:val="toc 1"/>
    <w:basedOn w:val="a"/>
    <w:next w:val="a"/>
    <w:autoRedefine/>
    <w:uiPriority w:val="39"/>
    <w:unhideWhenUsed/>
    <w:rsid w:val="00A72596"/>
    <w:pPr>
      <w:spacing w:before="120"/>
      <w:jc w:val="left"/>
    </w:pPr>
    <w:rPr>
      <w:rFonts w:asciiTheme="minorHAnsi" w:hAnsiTheme="minorHAnsi"/>
      <w:b/>
      <w:szCs w:val="24"/>
    </w:rPr>
  </w:style>
  <w:style w:type="paragraph" w:styleId="2">
    <w:name w:val="toc 2"/>
    <w:basedOn w:val="a"/>
    <w:next w:val="a"/>
    <w:autoRedefine/>
    <w:uiPriority w:val="39"/>
    <w:unhideWhenUsed/>
    <w:rsid w:val="00A72596"/>
    <w:pPr>
      <w:ind w:left="240"/>
      <w:jc w:val="left"/>
    </w:pPr>
    <w:rPr>
      <w:rFonts w:asciiTheme="minorHAnsi" w:hAnsiTheme="minorHAnsi"/>
      <w:b/>
      <w:sz w:val="22"/>
      <w:szCs w:val="22"/>
    </w:rPr>
  </w:style>
  <w:style w:type="paragraph" w:styleId="3">
    <w:name w:val="toc 3"/>
    <w:basedOn w:val="a"/>
    <w:next w:val="a"/>
    <w:autoRedefine/>
    <w:uiPriority w:val="39"/>
    <w:unhideWhenUsed/>
    <w:rsid w:val="00A72596"/>
    <w:pPr>
      <w:ind w:left="480"/>
      <w:jc w:val="left"/>
    </w:pPr>
    <w:rPr>
      <w:rFonts w:asciiTheme="minorHAnsi" w:hAnsiTheme="minorHAnsi"/>
      <w:sz w:val="22"/>
      <w:szCs w:val="22"/>
    </w:rPr>
  </w:style>
  <w:style w:type="paragraph" w:styleId="4">
    <w:name w:val="toc 4"/>
    <w:basedOn w:val="a"/>
    <w:next w:val="a"/>
    <w:autoRedefine/>
    <w:uiPriority w:val="39"/>
    <w:unhideWhenUsed/>
    <w:rsid w:val="00A72596"/>
    <w:pPr>
      <w:ind w:left="720"/>
      <w:jc w:val="left"/>
    </w:pPr>
    <w:rPr>
      <w:rFonts w:asciiTheme="minorHAnsi" w:hAnsiTheme="minorHAnsi"/>
      <w:sz w:val="20"/>
    </w:rPr>
  </w:style>
  <w:style w:type="paragraph" w:styleId="5">
    <w:name w:val="toc 5"/>
    <w:basedOn w:val="a"/>
    <w:next w:val="a"/>
    <w:autoRedefine/>
    <w:uiPriority w:val="39"/>
    <w:unhideWhenUsed/>
    <w:rsid w:val="00A72596"/>
    <w:pPr>
      <w:ind w:left="960"/>
      <w:jc w:val="left"/>
    </w:pPr>
    <w:rPr>
      <w:rFonts w:asciiTheme="minorHAnsi" w:hAnsiTheme="minorHAnsi"/>
      <w:sz w:val="20"/>
    </w:rPr>
  </w:style>
  <w:style w:type="paragraph" w:styleId="6">
    <w:name w:val="toc 6"/>
    <w:basedOn w:val="a"/>
    <w:next w:val="a"/>
    <w:autoRedefine/>
    <w:uiPriority w:val="39"/>
    <w:unhideWhenUsed/>
    <w:rsid w:val="00A72596"/>
    <w:pPr>
      <w:ind w:left="1200"/>
      <w:jc w:val="left"/>
    </w:pPr>
    <w:rPr>
      <w:rFonts w:asciiTheme="minorHAnsi" w:hAnsiTheme="minorHAnsi"/>
      <w:sz w:val="20"/>
    </w:rPr>
  </w:style>
  <w:style w:type="paragraph" w:styleId="7">
    <w:name w:val="toc 7"/>
    <w:basedOn w:val="a"/>
    <w:next w:val="a"/>
    <w:autoRedefine/>
    <w:uiPriority w:val="39"/>
    <w:unhideWhenUsed/>
    <w:rsid w:val="00A72596"/>
    <w:pPr>
      <w:ind w:left="1440"/>
      <w:jc w:val="left"/>
    </w:pPr>
    <w:rPr>
      <w:rFonts w:asciiTheme="minorHAnsi" w:hAnsiTheme="minorHAnsi"/>
      <w:sz w:val="20"/>
    </w:rPr>
  </w:style>
  <w:style w:type="paragraph" w:styleId="8">
    <w:name w:val="toc 8"/>
    <w:basedOn w:val="a"/>
    <w:next w:val="a"/>
    <w:autoRedefine/>
    <w:uiPriority w:val="39"/>
    <w:unhideWhenUsed/>
    <w:rsid w:val="00A72596"/>
    <w:pPr>
      <w:ind w:left="1680"/>
      <w:jc w:val="left"/>
    </w:pPr>
    <w:rPr>
      <w:rFonts w:asciiTheme="minorHAnsi" w:hAnsiTheme="minorHAnsi"/>
      <w:sz w:val="20"/>
    </w:rPr>
  </w:style>
  <w:style w:type="paragraph" w:styleId="9">
    <w:name w:val="toc 9"/>
    <w:basedOn w:val="a"/>
    <w:next w:val="a"/>
    <w:autoRedefine/>
    <w:uiPriority w:val="39"/>
    <w:unhideWhenUsed/>
    <w:rsid w:val="00A72596"/>
    <w:pPr>
      <w:ind w:left="1920"/>
      <w:jc w:val="left"/>
    </w:pPr>
    <w:rPr>
      <w:rFonts w:asciiTheme="minorHAnsi" w:hAnsiTheme="minorHAnsi"/>
      <w:sz w:val="20"/>
    </w:rPr>
  </w:style>
  <w:style w:type="character" w:customStyle="1" w:styleId="10">
    <w:name w:val="見出し 1 (文字)"/>
    <w:basedOn w:val="a0"/>
    <w:link w:val="1"/>
    <w:uiPriority w:val="9"/>
    <w:rsid w:val="00A72596"/>
    <w:rPr>
      <w:rFonts w:asciiTheme="majorHAnsi" w:eastAsiaTheme="majorEastAsia" w:hAnsiTheme="majorHAnsi" w:cstheme="majorBidi"/>
      <w:kern w:val="2"/>
      <w:sz w:val="28"/>
      <w:szCs w:val="28"/>
    </w:rPr>
  </w:style>
  <w:style w:type="paragraph" w:styleId="ac">
    <w:name w:val="TOC Heading"/>
    <w:basedOn w:val="1"/>
    <w:next w:val="a"/>
    <w:uiPriority w:val="39"/>
    <w:unhideWhenUsed/>
    <w:qFormat/>
    <w:rsid w:val="00A72596"/>
    <w:pPr>
      <w:keepLines/>
      <w:widowControl/>
      <w:spacing w:before="480" w:line="276" w:lineRule="auto"/>
      <w:jc w:val="left"/>
      <w:outlineLvl w:val="9"/>
    </w:pPr>
    <w:rPr>
      <w:b/>
      <w:bCs/>
      <w:color w:val="365F91" w:themeColor="accent1" w:themeShade="BF"/>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Theme="minorEastAsia" w:hAnsi="ＭＳ 明朝"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9B3"/>
    <w:pPr>
      <w:widowControl w:val="0"/>
      <w:spacing w:line="360" w:lineRule="auto"/>
      <w:jc w:val="both"/>
    </w:pPr>
    <w:rPr>
      <w:kern w:val="2"/>
      <w:sz w:val="24"/>
    </w:rPr>
  </w:style>
  <w:style w:type="paragraph" w:styleId="1">
    <w:name w:val="heading 1"/>
    <w:basedOn w:val="a"/>
    <w:next w:val="a"/>
    <w:link w:val="10"/>
    <w:uiPriority w:val="9"/>
    <w:qFormat/>
    <w:rsid w:val="00A7259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318D2"/>
    <w:pPr>
      <w:snapToGrid w:val="0"/>
      <w:jc w:val="left"/>
    </w:pPr>
  </w:style>
  <w:style w:type="character" w:customStyle="1" w:styleId="a4">
    <w:name w:val="脚注文字列 (文字)"/>
    <w:basedOn w:val="a0"/>
    <w:link w:val="a3"/>
    <w:uiPriority w:val="99"/>
    <w:rsid w:val="00B318D2"/>
    <w:rPr>
      <w:kern w:val="2"/>
      <w:sz w:val="24"/>
    </w:rPr>
  </w:style>
  <w:style w:type="character" w:styleId="a5">
    <w:name w:val="footnote reference"/>
    <w:basedOn w:val="a0"/>
    <w:uiPriority w:val="99"/>
    <w:unhideWhenUsed/>
    <w:rsid w:val="00B318D2"/>
    <w:rPr>
      <w:vertAlign w:val="superscript"/>
    </w:rPr>
  </w:style>
  <w:style w:type="paragraph" w:styleId="a6">
    <w:name w:val="endnote text"/>
    <w:basedOn w:val="a"/>
    <w:link w:val="a7"/>
    <w:uiPriority w:val="99"/>
    <w:unhideWhenUsed/>
    <w:rsid w:val="00E056B1"/>
    <w:pPr>
      <w:snapToGrid w:val="0"/>
      <w:jc w:val="left"/>
    </w:pPr>
  </w:style>
  <w:style w:type="character" w:customStyle="1" w:styleId="a7">
    <w:name w:val="文末脚注文字列 (文字)"/>
    <w:basedOn w:val="a0"/>
    <w:link w:val="a6"/>
    <w:uiPriority w:val="99"/>
    <w:rsid w:val="00E056B1"/>
    <w:rPr>
      <w:kern w:val="2"/>
      <w:sz w:val="24"/>
    </w:rPr>
  </w:style>
  <w:style w:type="character" w:styleId="a8">
    <w:name w:val="endnote reference"/>
    <w:basedOn w:val="a0"/>
    <w:uiPriority w:val="99"/>
    <w:unhideWhenUsed/>
    <w:rsid w:val="00E056B1"/>
    <w:rPr>
      <w:vertAlign w:val="superscript"/>
    </w:rPr>
  </w:style>
  <w:style w:type="paragraph" w:styleId="a9">
    <w:name w:val="Balloon Text"/>
    <w:basedOn w:val="a"/>
    <w:link w:val="aa"/>
    <w:uiPriority w:val="99"/>
    <w:semiHidden/>
    <w:unhideWhenUsed/>
    <w:rsid w:val="00D450EA"/>
    <w:pPr>
      <w:spacing w:line="240" w:lineRule="auto"/>
    </w:pPr>
    <w:rPr>
      <w:rFonts w:ascii="ヒラギノ角ゴ ProN W3" w:eastAsia="ヒラギノ角ゴ ProN W3"/>
      <w:sz w:val="18"/>
      <w:szCs w:val="18"/>
    </w:rPr>
  </w:style>
  <w:style w:type="character" w:customStyle="1" w:styleId="aa">
    <w:name w:val="吹き出し (文字)"/>
    <w:basedOn w:val="a0"/>
    <w:link w:val="a9"/>
    <w:uiPriority w:val="99"/>
    <w:semiHidden/>
    <w:rsid w:val="00D450EA"/>
    <w:rPr>
      <w:rFonts w:ascii="ヒラギノ角ゴ ProN W3" w:eastAsia="ヒラギノ角ゴ ProN W3"/>
      <w:kern w:val="2"/>
      <w:sz w:val="18"/>
      <w:szCs w:val="18"/>
    </w:rPr>
  </w:style>
  <w:style w:type="paragraph" w:styleId="ab">
    <w:name w:val="List Paragraph"/>
    <w:basedOn w:val="a"/>
    <w:uiPriority w:val="34"/>
    <w:qFormat/>
    <w:rsid w:val="008B4B41"/>
    <w:pPr>
      <w:ind w:leftChars="400" w:left="960"/>
    </w:pPr>
  </w:style>
  <w:style w:type="paragraph" w:styleId="11">
    <w:name w:val="toc 1"/>
    <w:basedOn w:val="a"/>
    <w:next w:val="a"/>
    <w:autoRedefine/>
    <w:uiPriority w:val="39"/>
    <w:unhideWhenUsed/>
    <w:rsid w:val="00A72596"/>
    <w:pPr>
      <w:spacing w:before="120"/>
      <w:jc w:val="left"/>
    </w:pPr>
    <w:rPr>
      <w:rFonts w:asciiTheme="minorHAnsi" w:hAnsiTheme="minorHAnsi"/>
      <w:b/>
      <w:szCs w:val="24"/>
    </w:rPr>
  </w:style>
  <w:style w:type="paragraph" w:styleId="2">
    <w:name w:val="toc 2"/>
    <w:basedOn w:val="a"/>
    <w:next w:val="a"/>
    <w:autoRedefine/>
    <w:uiPriority w:val="39"/>
    <w:unhideWhenUsed/>
    <w:rsid w:val="00A72596"/>
    <w:pPr>
      <w:ind w:left="240"/>
      <w:jc w:val="left"/>
    </w:pPr>
    <w:rPr>
      <w:rFonts w:asciiTheme="minorHAnsi" w:hAnsiTheme="minorHAnsi"/>
      <w:b/>
      <w:sz w:val="22"/>
      <w:szCs w:val="22"/>
    </w:rPr>
  </w:style>
  <w:style w:type="paragraph" w:styleId="3">
    <w:name w:val="toc 3"/>
    <w:basedOn w:val="a"/>
    <w:next w:val="a"/>
    <w:autoRedefine/>
    <w:uiPriority w:val="39"/>
    <w:unhideWhenUsed/>
    <w:rsid w:val="00A72596"/>
    <w:pPr>
      <w:ind w:left="480"/>
      <w:jc w:val="left"/>
    </w:pPr>
    <w:rPr>
      <w:rFonts w:asciiTheme="minorHAnsi" w:hAnsiTheme="minorHAnsi"/>
      <w:sz w:val="22"/>
      <w:szCs w:val="22"/>
    </w:rPr>
  </w:style>
  <w:style w:type="paragraph" w:styleId="4">
    <w:name w:val="toc 4"/>
    <w:basedOn w:val="a"/>
    <w:next w:val="a"/>
    <w:autoRedefine/>
    <w:uiPriority w:val="39"/>
    <w:unhideWhenUsed/>
    <w:rsid w:val="00A72596"/>
    <w:pPr>
      <w:ind w:left="720"/>
      <w:jc w:val="left"/>
    </w:pPr>
    <w:rPr>
      <w:rFonts w:asciiTheme="minorHAnsi" w:hAnsiTheme="minorHAnsi"/>
      <w:sz w:val="20"/>
    </w:rPr>
  </w:style>
  <w:style w:type="paragraph" w:styleId="5">
    <w:name w:val="toc 5"/>
    <w:basedOn w:val="a"/>
    <w:next w:val="a"/>
    <w:autoRedefine/>
    <w:uiPriority w:val="39"/>
    <w:unhideWhenUsed/>
    <w:rsid w:val="00A72596"/>
    <w:pPr>
      <w:ind w:left="960"/>
      <w:jc w:val="left"/>
    </w:pPr>
    <w:rPr>
      <w:rFonts w:asciiTheme="minorHAnsi" w:hAnsiTheme="minorHAnsi"/>
      <w:sz w:val="20"/>
    </w:rPr>
  </w:style>
  <w:style w:type="paragraph" w:styleId="6">
    <w:name w:val="toc 6"/>
    <w:basedOn w:val="a"/>
    <w:next w:val="a"/>
    <w:autoRedefine/>
    <w:uiPriority w:val="39"/>
    <w:unhideWhenUsed/>
    <w:rsid w:val="00A72596"/>
    <w:pPr>
      <w:ind w:left="1200"/>
      <w:jc w:val="left"/>
    </w:pPr>
    <w:rPr>
      <w:rFonts w:asciiTheme="minorHAnsi" w:hAnsiTheme="minorHAnsi"/>
      <w:sz w:val="20"/>
    </w:rPr>
  </w:style>
  <w:style w:type="paragraph" w:styleId="7">
    <w:name w:val="toc 7"/>
    <w:basedOn w:val="a"/>
    <w:next w:val="a"/>
    <w:autoRedefine/>
    <w:uiPriority w:val="39"/>
    <w:unhideWhenUsed/>
    <w:rsid w:val="00A72596"/>
    <w:pPr>
      <w:ind w:left="1440"/>
      <w:jc w:val="left"/>
    </w:pPr>
    <w:rPr>
      <w:rFonts w:asciiTheme="minorHAnsi" w:hAnsiTheme="minorHAnsi"/>
      <w:sz w:val="20"/>
    </w:rPr>
  </w:style>
  <w:style w:type="paragraph" w:styleId="8">
    <w:name w:val="toc 8"/>
    <w:basedOn w:val="a"/>
    <w:next w:val="a"/>
    <w:autoRedefine/>
    <w:uiPriority w:val="39"/>
    <w:unhideWhenUsed/>
    <w:rsid w:val="00A72596"/>
    <w:pPr>
      <w:ind w:left="1680"/>
      <w:jc w:val="left"/>
    </w:pPr>
    <w:rPr>
      <w:rFonts w:asciiTheme="minorHAnsi" w:hAnsiTheme="minorHAnsi"/>
      <w:sz w:val="20"/>
    </w:rPr>
  </w:style>
  <w:style w:type="paragraph" w:styleId="9">
    <w:name w:val="toc 9"/>
    <w:basedOn w:val="a"/>
    <w:next w:val="a"/>
    <w:autoRedefine/>
    <w:uiPriority w:val="39"/>
    <w:unhideWhenUsed/>
    <w:rsid w:val="00A72596"/>
    <w:pPr>
      <w:ind w:left="1920"/>
      <w:jc w:val="left"/>
    </w:pPr>
    <w:rPr>
      <w:rFonts w:asciiTheme="minorHAnsi" w:hAnsiTheme="minorHAnsi"/>
      <w:sz w:val="20"/>
    </w:rPr>
  </w:style>
  <w:style w:type="character" w:customStyle="1" w:styleId="10">
    <w:name w:val="見出し 1 (文字)"/>
    <w:basedOn w:val="a0"/>
    <w:link w:val="1"/>
    <w:uiPriority w:val="9"/>
    <w:rsid w:val="00A72596"/>
    <w:rPr>
      <w:rFonts w:asciiTheme="majorHAnsi" w:eastAsiaTheme="majorEastAsia" w:hAnsiTheme="majorHAnsi" w:cstheme="majorBidi"/>
      <w:kern w:val="2"/>
      <w:sz w:val="28"/>
      <w:szCs w:val="28"/>
    </w:rPr>
  </w:style>
  <w:style w:type="paragraph" w:styleId="ac">
    <w:name w:val="TOC Heading"/>
    <w:basedOn w:val="1"/>
    <w:next w:val="a"/>
    <w:uiPriority w:val="39"/>
    <w:unhideWhenUsed/>
    <w:qFormat/>
    <w:rsid w:val="00A72596"/>
    <w:pPr>
      <w:keepLines/>
      <w:widowControl/>
      <w:spacing w:before="480" w:line="276" w:lineRule="auto"/>
      <w:jc w:val="left"/>
      <w:outlineLvl w:val="9"/>
    </w:pPr>
    <w:rPr>
      <w:b/>
      <w:bCs/>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0559">
      <w:bodyDiv w:val="1"/>
      <w:marLeft w:val="0"/>
      <w:marRight w:val="0"/>
      <w:marTop w:val="0"/>
      <w:marBottom w:val="0"/>
      <w:divBdr>
        <w:top w:val="none" w:sz="0" w:space="0" w:color="auto"/>
        <w:left w:val="none" w:sz="0" w:space="0" w:color="auto"/>
        <w:bottom w:val="none" w:sz="0" w:space="0" w:color="auto"/>
        <w:right w:val="none" w:sz="0" w:space="0" w:color="auto"/>
      </w:divBdr>
    </w:div>
    <w:div w:id="389690816">
      <w:bodyDiv w:val="1"/>
      <w:marLeft w:val="0"/>
      <w:marRight w:val="0"/>
      <w:marTop w:val="0"/>
      <w:marBottom w:val="0"/>
      <w:divBdr>
        <w:top w:val="none" w:sz="0" w:space="0" w:color="auto"/>
        <w:left w:val="none" w:sz="0" w:space="0" w:color="auto"/>
        <w:bottom w:val="none" w:sz="0" w:space="0" w:color="auto"/>
        <w:right w:val="none" w:sz="0" w:space="0" w:color="auto"/>
      </w:divBdr>
    </w:div>
    <w:div w:id="1236890607">
      <w:bodyDiv w:val="1"/>
      <w:marLeft w:val="0"/>
      <w:marRight w:val="0"/>
      <w:marTop w:val="0"/>
      <w:marBottom w:val="0"/>
      <w:divBdr>
        <w:top w:val="none" w:sz="0" w:space="0" w:color="auto"/>
        <w:left w:val="none" w:sz="0" w:space="0" w:color="auto"/>
        <w:bottom w:val="none" w:sz="0" w:space="0" w:color="auto"/>
        <w:right w:val="none" w:sz="0" w:space="0" w:color="auto"/>
      </w:divBdr>
    </w:div>
    <w:div w:id="1454443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image" Target="media/image16.emf"/><Relationship Id="rId25" Type="http://schemas.openxmlformats.org/officeDocument/2006/relationships/image" Target="media/image17.emf"/><Relationship Id="rId8" Type="http://schemas.openxmlformats.org/officeDocument/2006/relationships/endnotes" Target="endnotes.xml"/><Relationship Id="rId13" Type="http://schemas.openxmlformats.org/officeDocument/2006/relationships/image" Target="media/image5.emf"/><Relationship Id="rId10"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image" Target="media/image9.emf"/><Relationship Id="rId9" Type="http://schemas.openxmlformats.org/officeDocument/2006/relationships/image" Target="media/image1.emf"/><Relationship Id="rId18" Type="http://schemas.openxmlformats.org/officeDocument/2006/relationships/image" Target="media/image10.emf"/><Relationship Id="rId3" Type="http://schemas.openxmlformats.org/officeDocument/2006/relationships/styles" Target="styles.xml"/><Relationship Id="rId27" Type="http://schemas.openxmlformats.org/officeDocument/2006/relationships/image" Target="media/image19.emf"/><Relationship Id="rId14" Type="http://schemas.openxmlformats.org/officeDocument/2006/relationships/image" Target="media/image6.emf"/><Relationship Id="rId23" Type="http://schemas.openxmlformats.org/officeDocument/2006/relationships/image" Target="media/image15.emf"/><Relationship Id="rId4" Type="http://schemas.microsoft.com/office/2007/relationships/stylesWithEffects" Target="stylesWithEffects.xml"/><Relationship Id="rId28" Type="http://schemas.openxmlformats.org/officeDocument/2006/relationships/image" Target="media/image20.emf"/><Relationship Id="rId26" Type="http://schemas.openxmlformats.org/officeDocument/2006/relationships/image" Target="media/image18.emf"/><Relationship Id="rId30" Type="http://schemas.openxmlformats.org/officeDocument/2006/relationships/theme" Target="theme/theme1.xml"/><Relationship Id="rId11" Type="http://schemas.openxmlformats.org/officeDocument/2006/relationships/image" Target="media/image3.emf"/><Relationship Id="rId29" Type="http://schemas.openxmlformats.org/officeDocument/2006/relationships/fontTable" Target="fontTable.xml"/><Relationship Id="rId6" Type="http://schemas.openxmlformats.org/officeDocument/2006/relationships/webSettings" Target="webSettings.xml"/><Relationship Id="rId16"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7.emf"/><Relationship Id="rId19" Type="http://schemas.openxmlformats.org/officeDocument/2006/relationships/image" Target="media/image11.emf"/><Relationship Id="rId20" Type="http://schemas.openxmlformats.org/officeDocument/2006/relationships/image" Target="media/image12.emf"/><Relationship Id="rId22" Type="http://schemas.openxmlformats.org/officeDocument/2006/relationships/image" Target="media/image14.emf"/><Relationship Id="rId21" Type="http://schemas.openxmlformats.org/officeDocument/2006/relationships/image" Target="media/image13.emf"/><Relationship Id="rId2"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40F2B-AF6F-CE4A-93DC-14B2CDB6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38</Pages>
  <Words>5307</Words>
  <Characters>30255</Characters>
  <Application>Microsoft Macintosh Word</Application>
  <DocSecurity>0</DocSecurity>
  <Lines>252</Lines>
  <Paragraphs>70</Paragraphs>
  <ScaleCrop>false</ScaleCrop>
  <Company>日本女子大学</Company>
  <LinksUpToDate>false</LinksUpToDate>
  <CharactersWithSpaces>35492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岩田 正美</dc:creator>
  <cp:keywords/>
  <dc:description/>
  <cp:lastModifiedBy>岩田 正美</cp:lastModifiedBy>
  <cp:revision>23</cp:revision>
  <dcterms:created xsi:type="dcterms:W3CDTF">2011-12-28T12:29:00Z</dcterms:created>
  <dcterms:modified xsi:type="dcterms:W3CDTF">2012-01-03T11:44:00Z</dcterms:modified>
</cp:coreProperties>
</file>